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59AED" w14:textId="01ACA46F" w:rsidR="00C109EC" w:rsidRPr="00BF4F0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BF4F00">
        <w:rPr>
          <w:rFonts w:ascii="Arial" w:eastAsia="바탕" w:hAnsi="Arial" w:cs="Arial"/>
          <w:b/>
          <w:bCs/>
          <w:snapToGrid w:val="0"/>
          <w:sz w:val="24"/>
          <w:szCs w:val="24"/>
          <w:lang w:val="en-GB"/>
        </w:rPr>
        <w:t>3GPP TSG RAN WG1 Meeting #1</w:t>
      </w:r>
      <w:r w:rsidR="00A10CA1" w:rsidRPr="00BF4F00">
        <w:rPr>
          <w:rFonts w:ascii="Arial" w:eastAsia="바탕" w:hAnsi="Arial" w:cs="Arial"/>
          <w:b/>
          <w:bCs/>
          <w:snapToGrid w:val="0"/>
          <w:sz w:val="24"/>
          <w:szCs w:val="24"/>
          <w:lang w:val="en-GB"/>
        </w:rPr>
        <w:t>2</w:t>
      </w:r>
      <w:r w:rsidR="00D66F69" w:rsidRPr="00BF4F00">
        <w:rPr>
          <w:rFonts w:ascii="Arial" w:eastAsia="바탕" w:hAnsi="Arial" w:cs="Arial" w:hint="eastAsia"/>
          <w:b/>
          <w:bCs/>
          <w:snapToGrid w:val="0"/>
          <w:sz w:val="24"/>
          <w:szCs w:val="24"/>
          <w:lang w:val="en-GB"/>
        </w:rPr>
        <w:t>2</w:t>
      </w:r>
      <w:r w:rsidRPr="00BF4F00">
        <w:rPr>
          <w:rFonts w:ascii="Arial" w:eastAsia="바탕" w:hAnsi="Arial" w:cs="Arial" w:hint="eastAsia"/>
          <w:b/>
          <w:bCs/>
          <w:snapToGrid w:val="0"/>
          <w:sz w:val="24"/>
          <w:szCs w:val="24"/>
          <w:lang w:val="en-GB"/>
        </w:rPr>
        <w:t xml:space="preserve"> </w:t>
      </w:r>
      <w:r w:rsidR="00BD7ABF" w:rsidRPr="00BF4F00">
        <w:rPr>
          <w:rFonts w:ascii="Arial" w:eastAsia="바탕" w:hAnsi="Arial" w:cs="Arial" w:hint="eastAsia"/>
          <w:b/>
          <w:bCs/>
          <w:snapToGrid w:val="0"/>
          <w:sz w:val="24"/>
          <w:szCs w:val="24"/>
          <w:lang w:val="en-GB"/>
        </w:rPr>
        <w:t xml:space="preserve">  </w:t>
      </w:r>
      <w:r w:rsidRPr="00BF4F00">
        <w:rPr>
          <w:rFonts w:ascii="Arial" w:eastAsia="바탕" w:hAnsi="Arial" w:cs="Arial"/>
          <w:b/>
          <w:bCs/>
          <w:snapToGrid w:val="0"/>
          <w:sz w:val="24"/>
          <w:szCs w:val="24"/>
          <w:lang w:val="en-GB"/>
        </w:rPr>
        <w:t xml:space="preserve"> </w:t>
      </w:r>
      <w:r w:rsidRPr="00BF4F00">
        <w:rPr>
          <w:rFonts w:ascii="Arial" w:eastAsia="바탕" w:hAnsi="Arial" w:cs="Arial" w:hint="eastAsia"/>
          <w:b/>
          <w:bCs/>
          <w:snapToGrid w:val="0"/>
          <w:sz w:val="24"/>
          <w:szCs w:val="24"/>
          <w:lang w:val="en-GB"/>
        </w:rPr>
        <w:t xml:space="preserve">     </w:t>
      </w:r>
      <w:r w:rsidRPr="00BF4F00">
        <w:rPr>
          <w:rFonts w:ascii="Arial" w:eastAsia="바탕" w:hAnsi="Arial" w:cs="Arial"/>
          <w:b/>
          <w:bCs/>
          <w:snapToGrid w:val="0"/>
          <w:sz w:val="24"/>
          <w:szCs w:val="24"/>
          <w:lang w:val="en-GB"/>
        </w:rPr>
        <w:t xml:space="preserve">    </w:t>
      </w:r>
      <w:r w:rsidRPr="00BF4F00">
        <w:rPr>
          <w:rFonts w:ascii="Arial" w:eastAsia="바탕" w:hAnsi="Arial" w:cs="Arial"/>
          <w:b/>
          <w:bCs/>
          <w:snapToGrid w:val="0"/>
          <w:sz w:val="24"/>
          <w:szCs w:val="24"/>
          <w:lang w:val="en-GB"/>
        </w:rPr>
        <w:tab/>
      </w:r>
      <w:r w:rsidRPr="00BF4F00">
        <w:rPr>
          <w:rFonts w:ascii="Arial" w:eastAsia="바탕" w:hAnsi="Arial" w:cs="Arial" w:hint="eastAsia"/>
          <w:b/>
          <w:bCs/>
          <w:snapToGrid w:val="0"/>
          <w:sz w:val="24"/>
          <w:szCs w:val="24"/>
          <w:lang w:val="en-GB"/>
        </w:rPr>
        <w:t xml:space="preserve">     </w:t>
      </w:r>
      <w:r w:rsidRPr="00BF4F00">
        <w:rPr>
          <w:rFonts w:ascii="Arial" w:eastAsia="바탕" w:hAnsi="Arial" w:cs="Arial"/>
          <w:b/>
          <w:bCs/>
          <w:snapToGrid w:val="0"/>
          <w:sz w:val="24"/>
          <w:szCs w:val="24"/>
          <w:lang w:val="en-GB"/>
        </w:rPr>
        <w:tab/>
      </w:r>
      <w:r w:rsidRPr="00BF4F00">
        <w:rPr>
          <w:rFonts w:ascii="Arial" w:eastAsia="바탕" w:hAnsi="Arial" w:cs="Arial"/>
          <w:b/>
          <w:bCs/>
          <w:snapToGrid w:val="0"/>
          <w:sz w:val="24"/>
          <w:szCs w:val="24"/>
          <w:lang w:val="en-GB"/>
        </w:rPr>
        <w:tab/>
      </w:r>
      <w:r w:rsidR="00BD7ABF" w:rsidRPr="00BF4F00">
        <w:rPr>
          <w:rFonts w:ascii="Arial" w:eastAsia="바탕" w:hAnsi="Arial" w:cs="Arial" w:hint="eastAsia"/>
          <w:b/>
          <w:bCs/>
          <w:snapToGrid w:val="0"/>
          <w:sz w:val="24"/>
          <w:szCs w:val="24"/>
          <w:lang w:val="en-GB"/>
        </w:rPr>
        <w:t xml:space="preserve">       </w:t>
      </w:r>
      <w:r w:rsidR="00BD7D32" w:rsidRPr="00BD7D32">
        <w:rPr>
          <w:rFonts w:ascii="Arial" w:eastAsia="바탕" w:hAnsi="Arial" w:cs="Arial" w:hint="eastAsia"/>
          <w:b/>
          <w:bCs/>
          <w:snapToGrid w:val="0"/>
          <w:sz w:val="24"/>
          <w:szCs w:val="24"/>
          <w:lang w:val="en-GB"/>
        </w:rPr>
        <w:t>R1-2505950</w:t>
      </w:r>
    </w:p>
    <w:p w14:paraId="5F1F9F62" w14:textId="4CAED60E" w:rsidR="00D66F69" w:rsidRPr="00BF4F00" w:rsidRDefault="00D66F69" w:rsidP="00D66F69">
      <w:pPr>
        <w:wordWrap/>
        <w:adjustRightInd w:val="0"/>
        <w:snapToGrid w:val="0"/>
        <w:spacing w:after="0" w:line="360" w:lineRule="auto"/>
        <w:rPr>
          <w:rFonts w:ascii="Arial" w:eastAsia="바탕" w:hAnsi="Arial" w:cs="Arial"/>
          <w:b/>
          <w:bCs/>
          <w:snapToGrid w:val="0"/>
          <w:sz w:val="24"/>
          <w:szCs w:val="24"/>
          <w:lang w:val="en-GB"/>
        </w:rPr>
      </w:pPr>
      <w:r w:rsidRPr="00BF4F00">
        <w:rPr>
          <w:rFonts w:ascii="Arial" w:eastAsia="바탕" w:hAnsi="Arial" w:cs="Arial"/>
          <w:b/>
          <w:bCs/>
          <w:snapToGrid w:val="0"/>
          <w:sz w:val="24"/>
          <w:szCs w:val="24"/>
        </w:rPr>
        <w:t>Bengaluru, India</w:t>
      </w:r>
      <w:r w:rsidR="00132B6A">
        <w:rPr>
          <w:rFonts w:ascii="Arial" w:eastAsia="바탕" w:hAnsi="Arial" w:cs="Arial"/>
          <w:b/>
          <w:bCs/>
          <w:snapToGrid w:val="0"/>
          <w:sz w:val="24"/>
          <w:szCs w:val="24"/>
        </w:rPr>
        <w:t>,</w:t>
      </w:r>
      <w:r w:rsidRPr="00BF4F00">
        <w:rPr>
          <w:rFonts w:ascii="Arial" w:eastAsia="바탕" w:hAnsi="Arial" w:cs="Arial"/>
          <w:b/>
          <w:bCs/>
          <w:snapToGrid w:val="0"/>
          <w:sz w:val="24"/>
          <w:szCs w:val="24"/>
        </w:rPr>
        <w:t xml:space="preserve"> August 25-29, 2025</w:t>
      </w:r>
    </w:p>
    <w:p w14:paraId="68967BB0" w14:textId="6F806657" w:rsidR="00C109EC" w:rsidRPr="00BF4F00" w:rsidRDefault="00C109EC" w:rsidP="00C109EC">
      <w:pPr>
        <w:wordWrap/>
        <w:adjustRightInd w:val="0"/>
        <w:snapToGrid w:val="0"/>
        <w:spacing w:after="0" w:line="360" w:lineRule="auto"/>
        <w:rPr>
          <w:rFonts w:ascii="Arial" w:eastAsia="바탕" w:hAnsi="Arial" w:cs="Arial"/>
          <w:snapToGrid w:val="0"/>
          <w:sz w:val="24"/>
          <w:szCs w:val="24"/>
        </w:rPr>
      </w:pPr>
      <w:r w:rsidRPr="00BF4F00">
        <w:rPr>
          <w:rFonts w:ascii="Arial" w:eastAsia="바탕" w:hAnsi="Arial" w:cs="Arial"/>
          <w:b/>
          <w:snapToGrid w:val="0"/>
          <w:sz w:val="24"/>
          <w:szCs w:val="24"/>
        </w:rPr>
        <w:t>_______________</w:t>
      </w:r>
      <w:bookmarkStart w:id="2" w:name="_GoBack"/>
      <w:bookmarkEnd w:id="2"/>
      <w:r w:rsidRPr="00BF4F00">
        <w:rPr>
          <w:rFonts w:ascii="Arial" w:eastAsia="바탕" w:hAnsi="Arial" w:cs="Arial"/>
          <w:b/>
          <w:snapToGrid w:val="0"/>
          <w:sz w:val="24"/>
          <w:szCs w:val="24"/>
        </w:rPr>
        <w:t>______________________________________________________Agenda item:</w:t>
      </w:r>
      <w:r w:rsidRPr="00BF4F00">
        <w:rPr>
          <w:rFonts w:ascii="Arial" w:eastAsia="바탕" w:hAnsi="Arial" w:cs="Arial"/>
          <w:snapToGrid w:val="0"/>
          <w:sz w:val="24"/>
          <w:szCs w:val="24"/>
        </w:rPr>
        <w:t xml:space="preserve"> </w:t>
      </w:r>
      <w:r w:rsidR="00D66F69" w:rsidRPr="00BF4F00">
        <w:rPr>
          <w:rFonts w:ascii="Arial" w:eastAsia="바탕" w:hAnsi="Arial" w:cs="Arial" w:hint="eastAsia"/>
          <w:snapToGrid w:val="0"/>
          <w:sz w:val="24"/>
          <w:szCs w:val="24"/>
        </w:rPr>
        <w:t>10.5</w:t>
      </w:r>
      <w:r w:rsidR="004A68C9">
        <w:rPr>
          <w:rFonts w:ascii="Arial" w:eastAsia="바탕" w:hAnsi="Arial" w:cs="Arial" w:hint="eastAsia"/>
          <w:snapToGrid w:val="0"/>
          <w:sz w:val="24"/>
          <w:szCs w:val="24"/>
        </w:rPr>
        <w:t>.1</w:t>
      </w:r>
    </w:p>
    <w:p w14:paraId="7013FF67" w14:textId="77777777" w:rsidR="00C109EC" w:rsidRPr="00BF4F00" w:rsidRDefault="00C109EC" w:rsidP="00C109EC">
      <w:pPr>
        <w:wordWrap/>
        <w:adjustRightInd w:val="0"/>
        <w:snapToGrid w:val="0"/>
        <w:spacing w:after="0" w:line="360" w:lineRule="auto"/>
        <w:rPr>
          <w:rFonts w:ascii="Arial" w:eastAsia="바탕" w:hAnsi="Arial" w:cs="Arial"/>
          <w:snapToGrid w:val="0"/>
          <w:sz w:val="24"/>
          <w:szCs w:val="24"/>
        </w:rPr>
      </w:pPr>
      <w:r w:rsidRPr="00BF4F00">
        <w:rPr>
          <w:rFonts w:ascii="Arial" w:eastAsia="바탕" w:hAnsi="Arial" w:cs="Arial"/>
          <w:b/>
          <w:snapToGrid w:val="0"/>
          <w:sz w:val="24"/>
          <w:szCs w:val="24"/>
        </w:rPr>
        <w:t>Source:</w:t>
      </w:r>
      <w:r w:rsidRPr="00BF4F00">
        <w:rPr>
          <w:rFonts w:ascii="Arial" w:eastAsia="바탕" w:hAnsi="Arial" w:cs="Arial"/>
          <w:snapToGrid w:val="0"/>
          <w:sz w:val="24"/>
          <w:szCs w:val="24"/>
        </w:rPr>
        <w:t xml:space="preserve"> LG Electronics</w:t>
      </w:r>
    </w:p>
    <w:p w14:paraId="4A3A04E8" w14:textId="6F930395" w:rsidR="00C109EC" w:rsidRPr="00BF4F00"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BF4F00">
        <w:rPr>
          <w:rFonts w:ascii="Arial" w:eastAsia="바탕" w:hAnsi="Arial" w:cs="Arial"/>
          <w:b/>
          <w:snapToGrid w:val="0"/>
          <w:sz w:val="24"/>
          <w:szCs w:val="24"/>
        </w:rPr>
        <w:t xml:space="preserve">Title: </w:t>
      </w:r>
      <w:r w:rsidR="004A68C9" w:rsidRPr="004A68C9">
        <w:rPr>
          <w:rFonts w:ascii="Arial" w:eastAsia="바탕" w:hAnsi="Arial" w:cs="Arial"/>
          <w:snapToGrid w:val="0"/>
          <w:sz w:val="24"/>
          <w:szCs w:val="24"/>
        </w:rPr>
        <w:t>Discussion on evaluation assumptions and performance evaluation for NR ISAC</w:t>
      </w:r>
    </w:p>
    <w:p w14:paraId="2EDB271A" w14:textId="77777777" w:rsidR="00C109EC" w:rsidRPr="00BF4F00"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BF4F00">
        <w:rPr>
          <w:rFonts w:ascii="Arial" w:eastAsia="바탕" w:hAnsi="Arial" w:cs="Arial"/>
          <w:b/>
          <w:snapToGrid w:val="0"/>
          <w:sz w:val="24"/>
          <w:szCs w:val="24"/>
        </w:rPr>
        <w:t>Document for:</w:t>
      </w:r>
      <w:r w:rsidRPr="00BF4F00">
        <w:rPr>
          <w:rFonts w:ascii="Arial" w:eastAsia="바탕" w:hAnsi="Arial" w:cs="Arial"/>
          <w:snapToGrid w:val="0"/>
          <w:sz w:val="24"/>
          <w:szCs w:val="24"/>
        </w:rPr>
        <w:t xml:space="preserve"> Discussion and decision</w:t>
      </w:r>
    </w:p>
    <w:bookmarkEnd w:id="0"/>
    <w:bookmarkEnd w:id="1"/>
    <w:p w14:paraId="2877DCB9" w14:textId="77777777" w:rsidR="00C109EC" w:rsidRPr="00BF4F00"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BF4F00">
        <w:rPr>
          <w:rFonts w:ascii="Arial" w:eastAsia="바탕" w:hAnsi="Arial" w:cs="Arial"/>
          <w:kern w:val="0"/>
          <w:sz w:val="32"/>
          <w:szCs w:val="20"/>
          <w:lang w:val="en-GB" w:eastAsia="en-US"/>
        </w:rPr>
        <w:t>Introduction</w:t>
      </w:r>
    </w:p>
    <w:p w14:paraId="195B7B9A" w14:textId="1AAF38EB" w:rsidR="00FC3A33" w:rsidRDefault="004D5EEE" w:rsidP="00D151EB">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In this contribution, we discuss the </w:t>
      </w:r>
      <w:r w:rsidR="00D151EB" w:rsidRPr="00BF4F00">
        <w:rPr>
          <w:rFonts w:ascii="Calibri" w:eastAsia="바탕" w:hAnsi="Calibri" w:cs="Calibri"/>
          <w:sz w:val="22"/>
        </w:rPr>
        <w:t>issues related to</w:t>
      </w:r>
      <w:r w:rsidRPr="00BF4F00">
        <w:rPr>
          <w:rFonts w:ascii="Calibri" w:eastAsia="바탕" w:hAnsi="Calibri" w:cs="Calibri"/>
          <w:sz w:val="22"/>
        </w:rPr>
        <w:t xml:space="preserve"> the </w:t>
      </w:r>
      <w:r w:rsidR="00D66F69" w:rsidRPr="00BF4F00">
        <w:rPr>
          <w:rFonts w:ascii="Calibri" w:eastAsia="바탕" w:hAnsi="Calibri" w:cs="Calibri" w:hint="eastAsia"/>
          <w:sz w:val="22"/>
        </w:rPr>
        <w:t>e</w:t>
      </w:r>
      <w:r w:rsidR="00D66F69" w:rsidRPr="00BF4F00">
        <w:rPr>
          <w:rFonts w:ascii="Calibri" w:eastAsia="바탕" w:hAnsi="Calibri" w:cs="Calibri"/>
          <w:sz w:val="22"/>
        </w:rPr>
        <w:t>valuation assumptions and performance evaluation</w:t>
      </w:r>
      <w:r w:rsidR="00D66F69" w:rsidRPr="00BF4F00">
        <w:rPr>
          <w:rFonts w:ascii="Calibri" w:eastAsia="바탕" w:hAnsi="Calibri" w:cs="Calibri" w:hint="eastAsia"/>
          <w:sz w:val="22"/>
        </w:rPr>
        <w:t>.</w:t>
      </w:r>
      <w:r w:rsidR="00C31EAC" w:rsidRPr="00BF4F00">
        <w:rPr>
          <w:rFonts w:ascii="Calibri" w:eastAsia="바탕" w:hAnsi="Calibri" w:cs="Calibri"/>
          <w:sz w:val="22"/>
        </w:rPr>
        <w:t xml:space="preserve"> in NR-based ISAC systems, focusing on monostatic </w:t>
      </w:r>
      <w:proofErr w:type="spellStart"/>
      <w:r w:rsidR="00C31EAC" w:rsidRPr="00BF4F00">
        <w:rPr>
          <w:rFonts w:ascii="Calibri" w:eastAsia="바탕" w:hAnsi="Calibri" w:cs="Calibri"/>
          <w:sz w:val="22"/>
        </w:rPr>
        <w:t>gNB</w:t>
      </w:r>
      <w:proofErr w:type="spellEnd"/>
      <w:r w:rsidR="00C31EAC" w:rsidRPr="00BF4F00">
        <w:rPr>
          <w:rFonts w:ascii="Calibri" w:eastAsia="바탕" w:hAnsi="Calibri" w:cs="Calibri"/>
          <w:sz w:val="22"/>
        </w:rPr>
        <w:t>-based sensing scenarios.</w:t>
      </w:r>
    </w:p>
    <w:p w14:paraId="24E90C3E" w14:textId="77777777" w:rsidR="00DF3B63" w:rsidRPr="00BF4F00" w:rsidRDefault="00DF3B63" w:rsidP="00D151EB">
      <w:pPr>
        <w:wordWrap/>
        <w:adjustRightInd w:val="0"/>
        <w:snapToGrid w:val="0"/>
        <w:spacing w:before="100" w:beforeAutospacing="1" w:afterLines="50" w:after="120" w:line="264" w:lineRule="auto"/>
        <w:ind w:firstLine="425"/>
        <w:rPr>
          <w:rFonts w:ascii="Calibri" w:eastAsia="바탕" w:hAnsi="Calibri" w:cs="Calibri"/>
          <w:sz w:val="22"/>
        </w:rPr>
      </w:pPr>
    </w:p>
    <w:p w14:paraId="65A186FA" w14:textId="77777777" w:rsidR="00D76A3D" w:rsidRPr="00BF4F00" w:rsidRDefault="00FC3A33"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BF4F00">
        <w:rPr>
          <w:rFonts w:ascii="Arial" w:eastAsia="바탕" w:hAnsi="Arial" w:cs="Arial"/>
          <w:kern w:val="0"/>
          <w:sz w:val="32"/>
          <w:szCs w:val="28"/>
        </w:rPr>
        <w:t>Discussions</w:t>
      </w:r>
    </w:p>
    <w:p w14:paraId="00C42254" w14:textId="0A7DF59D" w:rsidR="00EC139E" w:rsidRPr="00BF4F00" w:rsidRDefault="00D66F69" w:rsidP="00680B89">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lang w:eastAsia="en-US"/>
        </w:rPr>
      </w:pPr>
      <w:r w:rsidRPr="00BF4F00">
        <w:rPr>
          <w:rFonts w:ascii="Arial" w:eastAsia="바탕" w:hAnsi="Arial" w:cs="Arial" w:hint="eastAsia"/>
          <w:kern w:val="0"/>
          <w:sz w:val="28"/>
          <w:szCs w:val="28"/>
        </w:rPr>
        <w:t>Performance metrics and measurement</w:t>
      </w:r>
    </w:p>
    <w:p w14:paraId="09EC9B62" w14:textId="68BF5C3B" w:rsidR="009410FF" w:rsidRPr="00BF4F00" w:rsidRDefault="00C1359B" w:rsidP="00B46117">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Evaluating </w:t>
      </w:r>
      <w:proofErr w:type="spellStart"/>
      <w:r w:rsidRPr="00BF4F00">
        <w:rPr>
          <w:rFonts w:ascii="Calibri" w:eastAsia="바탕" w:hAnsi="Calibri" w:cs="Calibri"/>
          <w:sz w:val="22"/>
        </w:rPr>
        <w:t>gNB</w:t>
      </w:r>
      <w:proofErr w:type="spellEnd"/>
      <w:r w:rsidRPr="00BF4F00">
        <w:rPr>
          <w:rFonts w:ascii="Calibri" w:eastAsia="바탕" w:hAnsi="Calibri" w:cs="Calibri"/>
          <w:sz w:val="22"/>
        </w:rPr>
        <w:t>-based mono-static sensing for UAVs requires clearly defined performance metrics and measurements. Without them, it's difficult to validate the practicality and effectiveness of 5G-A ISAC technologies.</w:t>
      </w:r>
    </w:p>
    <w:p w14:paraId="5BAEE953" w14:textId="7E89F77A" w:rsidR="00D66F69" w:rsidRPr="00BF4F00" w:rsidRDefault="00D66F69" w:rsidP="00C1359B">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hint="eastAsia"/>
          <w:sz w:val="22"/>
        </w:rPr>
        <w:t>The following</w:t>
      </w:r>
      <w:r w:rsidRPr="00BF4F00">
        <w:rPr>
          <w:rFonts w:ascii="Calibri" w:eastAsia="바탕" w:hAnsi="Calibri" w:cs="Calibri"/>
          <w:sz w:val="22"/>
        </w:rPr>
        <w:t xml:space="preserve"> </w:t>
      </w:r>
      <w:r w:rsidR="003276FB" w:rsidRPr="00BF4F00">
        <w:rPr>
          <w:rFonts w:ascii="Calibri" w:eastAsia="바탕" w:hAnsi="Calibri" w:cs="Calibri" w:hint="eastAsia"/>
          <w:sz w:val="22"/>
        </w:rPr>
        <w:t>set of key performance requirements</w:t>
      </w:r>
      <w:r w:rsidR="0045560B" w:rsidRPr="00BF4F00">
        <w:rPr>
          <w:rFonts w:ascii="Calibri" w:eastAsia="바탕" w:hAnsi="Calibri" w:cs="Calibri" w:hint="eastAsia"/>
          <w:sz w:val="22"/>
        </w:rPr>
        <w:t xml:space="preserve"> </w:t>
      </w:r>
      <w:r w:rsidR="0045560B" w:rsidRPr="00BF4F00">
        <w:rPr>
          <w:rFonts w:ascii="Calibri" w:eastAsia="바탕" w:hAnsi="Calibri" w:cs="Calibri"/>
          <w:sz w:val="22"/>
        </w:rPr>
        <w:t xml:space="preserve">for </w:t>
      </w:r>
      <w:r w:rsidR="0045560B" w:rsidRPr="00BF4F00">
        <w:rPr>
          <w:rFonts w:ascii="Calibri" w:eastAsia="바탕" w:hAnsi="Calibri" w:cs="Calibri" w:hint="eastAsia"/>
          <w:sz w:val="22"/>
        </w:rPr>
        <w:t>i</w:t>
      </w:r>
      <w:r w:rsidR="0045560B" w:rsidRPr="00BF4F00">
        <w:rPr>
          <w:rFonts w:ascii="Calibri" w:eastAsia="바탕" w:hAnsi="Calibri" w:cs="Calibri"/>
          <w:sz w:val="22"/>
        </w:rPr>
        <w:t xml:space="preserve">ntegrated </w:t>
      </w:r>
      <w:r w:rsidR="0045560B" w:rsidRPr="00BF4F00">
        <w:rPr>
          <w:rFonts w:ascii="Calibri" w:eastAsia="바탕" w:hAnsi="Calibri" w:cs="Calibri" w:hint="eastAsia"/>
          <w:sz w:val="22"/>
        </w:rPr>
        <w:t>s</w:t>
      </w:r>
      <w:r w:rsidR="0045560B" w:rsidRPr="00BF4F00">
        <w:rPr>
          <w:rFonts w:ascii="Calibri" w:eastAsia="바탕" w:hAnsi="Calibri" w:cs="Calibri"/>
          <w:sz w:val="22"/>
        </w:rPr>
        <w:t xml:space="preserve">ensing and </w:t>
      </w:r>
      <w:r w:rsidR="0045560B" w:rsidRPr="00BF4F00">
        <w:rPr>
          <w:rFonts w:ascii="Calibri" w:eastAsia="바탕" w:hAnsi="Calibri" w:cs="Calibri" w:hint="eastAsia"/>
          <w:sz w:val="22"/>
        </w:rPr>
        <w:t>c</w:t>
      </w:r>
      <w:r w:rsidR="0045560B" w:rsidRPr="00BF4F00">
        <w:rPr>
          <w:rFonts w:ascii="Calibri" w:eastAsia="바탕" w:hAnsi="Calibri" w:cs="Calibri"/>
          <w:sz w:val="22"/>
        </w:rPr>
        <w:t>ommunication</w:t>
      </w:r>
      <w:r w:rsidRPr="00BF4F00">
        <w:rPr>
          <w:rFonts w:ascii="Calibri" w:eastAsia="바탕" w:hAnsi="Calibri" w:cs="Calibri"/>
          <w:sz w:val="22"/>
        </w:rPr>
        <w:t xml:space="preserve"> </w:t>
      </w:r>
      <w:r w:rsidR="003276FB" w:rsidRPr="00BF4F00">
        <w:rPr>
          <w:rFonts w:ascii="Calibri" w:eastAsia="바탕" w:hAnsi="Calibri" w:cs="Calibri" w:hint="eastAsia"/>
          <w:sz w:val="22"/>
        </w:rPr>
        <w:t>are specified in TS 22.137</w:t>
      </w:r>
      <w:r w:rsidR="006444B5" w:rsidRPr="00BF4F00">
        <w:rPr>
          <w:rFonts w:ascii="Calibri" w:eastAsia="바탕" w:hAnsi="Calibri" w:cs="Calibri" w:hint="eastAsia"/>
          <w:sz w:val="22"/>
        </w:rPr>
        <w:t xml:space="preserve"> [1]</w:t>
      </w:r>
      <w:r w:rsidR="003276FB" w:rsidRPr="00BF4F00">
        <w:rPr>
          <w:rFonts w:ascii="Calibri" w:eastAsia="바탕" w:hAnsi="Calibri" w:cs="Calibri" w:hint="eastAsia"/>
          <w:sz w:val="22"/>
        </w:rPr>
        <w:t>.</w:t>
      </w:r>
    </w:p>
    <w:tbl>
      <w:tblPr>
        <w:tblStyle w:val="aa"/>
        <w:tblW w:w="0" w:type="auto"/>
        <w:tblLook w:val="04A0" w:firstRow="1" w:lastRow="0" w:firstColumn="1" w:lastColumn="0" w:noHBand="0" w:noVBand="1"/>
      </w:tblPr>
      <w:tblGrid>
        <w:gridCol w:w="9362"/>
      </w:tblGrid>
      <w:tr w:rsidR="00D66F69" w:rsidRPr="00BF4F00" w14:paraId="496682C7" w14:textId="77777777" w:rsidTr="003025F7">
        <w:tc>
          <w:tcPr>
            <w:tcW w:w="9362" w:type="dxa"/>
          </w:tcPr>
          <w:p w14:paraId="6039F0A3" w14:textId="0F364ACF" w:rsidR="00D66F69" w:rsidRPr="00BF4F00" w:rsidRDefault="00D66F69" w:rsidP="003025F7">
            <w:pPr>
              <w:widowControl/>
              <w:wordWrap/>
              <w:autoSpaceDE/>
              <w:autoSpaceDN/>
              <w:rPr>
                <w:rFonts w:eastAsia="맑은 고딕"/>
                <w:highlight w:val="green"/>
                <w:lang w:val="en-GB" w:eastAsia="en-US"/>
              </w:rPr>
            </w:pPr>
          </w:p>
          <w:p w14:paraId="29210B74" w14:textId="77777777" w:rsidR="003276FB" w:rsidRPr="00BF4F00" w:rsidRDefault="003276FB" w:rsidP="003276FB">
            <w:pPr>
              <w:pStyle w:val="B1"/>
            </w:pPr>
            <w:r w:rsidRPr="00BF4F00">
              <w:t>-</w:t>
            </w:r>
            <w:r w:rsidRPr="00BF4F00">
              <w:tab/>
            </w:r>
            <w:r w:rsidRPr="00BF4F00">
              <w:rPr>
                <w:b/>
              </w:rPr>
              <w:t>Accuracy of positioning estimate</w:t>
            </w:r>
            <w:r w:rsidRPr="00BF4F00">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73C13642" w14:textId="77777777" w:rsidR="003276FB" w:rsidRPr="00BF4F00" w:rsidRDefault="003276FB" w:rsidP="003276FB">
            <w:pPr>
              <w:pStyle w:val="B1"/>
            </w:pPr>
            <w:r w:rsidRPr="00BF4F00">
              <w:t>-</w:t>
            </w:r>
            <w:r w:rsidRPr="00BF4F00">
              <w:tab/>
            </w:r>
            <w:r w:rsidRPr="00BF4F00">
              <w:rPr>
                <w:b/>
              </w:rPr>
              <w:t>Accuracy of velocity estimate</w:t>
            </w:r>
            <w:r w:rsidRPr="00BF4F00">
              <w:t xml:space="preserve"> describes the closeness of the measured sensing result (i.e., velocity) of the target object to its true velocity.</w:t>
            </w:r>
          </w:p>
          <w:p w14:paraId="564B6900" w14:textId="77777777" w:rsidR="003276FB" w:rsidRPr="00BF4F00" w:rsidRDefault="003276FB" w:rsidP="003276FB">
            <w:pPr>
              <w:pStyle w:val="B1"/>
              <w:rPr>
                <w:lang w:bidi="ar"/>
              </w:rPr>
            </w:pPr>
            <w:r w:rsidRPr="00BF4F00">
              <w:t>-</w:t>
            </w:r>
            <w:r w:rsidRPr="00BF4F00">
              <w:tab/>
            </w:r>
            <w:r w:rsidRPr="00BF4F00">
              <w:rPr>
                <w:b/>
                <w:bCs/>
              </w:rPr>
              <w:t>Confidence level</w:t>
            </w:r>
            <w:r w:rsidRPr="00BF4F00">
              <w:t xml:space="preserve"> describes </w:t>
            </w:r>
            <w:r w:rsidRPr="00BF4F00">
              <w:rPr>
                <w:lang w:bidi="ar"/>
              </w:rPr>
              <w:t>the percentage of all the possible measured sensing results that can be expected to include the true sensing result considering the accuracy.</w:t>
            </w:r>
          </w:p>
          <w:p w14:paraId="26081BEA" w14:textId="77777777" w:rsidR="003276FB" w:rsidRPr="00BF4F00" w:rsidRDefault="003276FB" w:rsidP="003276FB">
            <w:pPr>
              <w:pStyle w:val="B1"/>
            </w:pPr>
            <w:r w:rsidRPr="00BF4F00">
              <w:t>-</w:t>
            </w:r>
            <w:r w:rsidRPr="00BF4F00">
              <w:tab/>
            </w:r>
            <w:r w:rsidRPr="00BF4F00">
              <w:rPr>
                <w:b/>
                <w:bCs/>
              </w:rPr>
              <w:t>Sensing</w:t>
            </w:r>
            <w:r w:rsidRPr="00BF4F00">
              <w:t xml:space="preserve"> </w:t>
            </w:r>
            <w:r w:rsidRPr="00BF4F00">
              <w:rPr>
                <w:b/>
                <w:bCs/>
              </w:rPr>
              <w:t>Resolution</w:t>
            </w:r>
            <w:r w:rsidRPr="00BF4F00">
              <w:t xml:space="preserve"> describes the minimum difference in the measured magnitude of target objects (e.g., range, velocity) to be allowed to detect objects in different magnitude.</w:t>
            </w:r>
          </w:p>
          <w:p w14:paraId="20239D9A" w14:textId="77777777" w:rsidR="003276FB" w:rsidRPr="00BF4F00" w:rsidRDefault="003276FB" w:rsidP="003276FB">
            <w:pPr>
              <w:pStyle w:val="B1"/>
              <w:rPr>
                <w:lang w:bidi="ar"/>
              </w:rPr>
            </w:pPr>
            <w:r w:rsidRPr="00BF4F00">
              <w:rPr>
                <w:b/>
                <w:bCs/>
              </w:rPr>
              <w:t>-</w:t>
            </w:r>
            <w:r w:rsidRPr="00BF4F00">
              <w:rPr>
                <w:b/>
                <w:bCs/>
              </w:rPr>
              <w:tab/>
              <w:t>Missed detection probability</w:t>
            </w:r>
            <w:r w:rsidRPr="00BF4F00">
              <w:t xml:space="preserve"> describes the </w:t>
            </w:r>
            <w:r w:rsidRPr="00BF4F00">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1161DC43" w14:textId="77777777" w:rsidR="003276FB" w:rsidRPr="00BF4F00" w:rsidRDefault="003276FB" w:rsidP="003276FB">
            <w:pPr>
              <w:pStyle w:val="NO"/>
            </w:pPr>
            <w:r w:rsidRPr="00BF4F00">
              <w:t>NOTE</w:t>
            </w:r>
            <w:r w:rsidRPr="00BF4F00">
              <w:rPr>
                <w:rFonts w:eastAsia="맑은 고딕"/>
                <w:lang w:eastAsia="ko-KR"/>
              </w:rPr>
              <w:t> </w:t>
            </w:r>
            <w:r w:rsidRPr="00BF4F00">
              <w:t>1:</w:t>
            </w:r>
            <w:r w:rsidRPr="00BF4F00">
              <w:tab/>
              <w:t>An event with a positive state refers to the presence of the characteristics of a target object or environment, including the event falsely identified as being negative and truly identified as being positive.</w:t>
            </w:r>
          </w:p>
          <w:p w14:paraId="724BBC78" w14:textId="77777777" w:rsidR="003276FB" w:rsidRPr="00BF4F00" w:rsidRDefault="003276FB" w:rsidP="003276FB">
            <w:pPr>
              <w:pStyle w:val="B1"/>
              <w:rPr>
                <w:lang w:bidi="ar"/>
              </w:rPr>
            </w:pPr>
            <w:r w:rsidRPr="00BF4F00">
              <w:t>-</w:t>
            </w:r>
            <w:r w:rsidRPr="00BF4F00">
              <w:tab/>
            </w:r>
            <w:r w:rsidRPr="00BF4F00">
              <w:rPr>
                <w:b/>
                <w:bCs/>
              </w:rPr>
              <w:t xml:space="preserve">False alarm probability </w:t>
            </w:r>
            <w:r w:rsidRPr="00BF4F00">
              <w:t xml:space="preserve">describes the conditional probability of falsely detecting the presence of target object/environment when the target object/environment is not present. This probability is denoted by the </w:t>
            </w:r>
            <w:r w:rsidRPr="00BF4F00">
              <w:lastRenderedPageBreak/>
              <w:t>ratio of the number of events falsely identified as being positive, over the total number of events with a negative state. It applies only to binary sensing results</w:t>
            </w:r>
            <w:r w:rsidRPr="00BF4F00">
              <w:rPr>
                <w:lang w:bidi="ar"/>
              </w:rPr>
              <w:t>.</w:t>
            </w:r>
          </w:p>
          <w:p w14:paraId="5E8A4865" w14:textId="77777777" w:rsidR="003276FB" w:rsidRPr="00BF4F00" w:rsidRDefault="003276FB" w:rsidP="003276FB">
            <w:pPr>
              <w:pStyle w:val="NO"/>
            </w:pPr>
            <w:r w:rsidRPr="00BF4F00">
              <w:t>NOTE</w:t>
            </w:r>
            <w:r w:rsidRPr="00BF4F00">
              <w:rPr>
                <w:rFonts w:eastAsia="맑은 고딕"/>
                <w:lang w:eastAsia="ko-KR"/>
              </w:rPr>
              <w:t> </w:t>
            </w:r>
            <w:r w:rsidRPr="00BF4F00">
              <w:t>2:</w:t>
            </w:r>
            <w:r w:rsidRPr="00BF4F00">
              <w:tab/>
              <w:t>An event with a negative state refers to the non-presence of the characteristics of a target object or environment, including the event falsely identified as being positive and truly identified as being negative.</w:t>
            </w:r>
          </w:p>
          <w:p w14:paraId="7A082DD1" w14:textId="77777777" w:rsidR="003276FB" w:rsidRPr="00BF4F00" w:rsidRDefault="003276FB" w:rsidP="003276FB">
            <w:pPr>
              <w:pStyle w:val="B1"/>
            </w:pPr>
            <w:r w:rsidRPr="00BF4F00">
              <w:t>-</w:t>
            </w:r>
            <w:r w:rsidRPr="00BF4F00">
              <w:tab/>
            </w:r>
            <w:r w:rsidRPr="00BF4F00">
              <w:rPr>
                <w:b/>
                <w:bCs/>
              </w:rPr>
              <w:t>Max sensing service latency</w:t>
            </w:r>
            <w:r w:rsidRPr="00BF4F00">
              <w:t>: time elapsed between the event triggering the determination of the sensing result and the availability of the sensing result at the sensing system interface.</w:t>
            </w:r>
          </w:p>
          <w:p w14:paraId="26D2B70B" w14:textId="77777777" w:rsidR="003276FB" w:rsidRPr="00BF4F00" w:rsidRDefault="003276FB" w:rsidP="003276FB">
            <w:pPr>
              <w:pStyle w:val="B1"/>
            </w:pPr>
            <w:r w:rsidRPr="00BF4F00">
              <w:t>-</w:t>
            </w:r>
            <w:r w:rsidRPr="00BF4F00">
              <w:tab/>
            </w:r>
            <w:r w:rsidRPr="00BF4F00">
              <w:rPr>
                <w:b/>
              </w:rPr>
              <w:t>Refreshing rate</w:t>
            </w:r>
            <w:r w:rsidRPr="00BF4F00">
              <w:t>: rate at which the sensing result is generated by the sensing system. It is the inverse of the time elapsed between two successive sensing results.</w:t>
            </w:r>
          </w:p>
          <w:p w14:paraId="0A827245" w14:textId="468870D2" w:rsidR="003276FB" w:rsidRPr="00BF4F00" w:rsidRDefault="003276FB" w:rsidP="003276FB">
            <w:pPr>
              <w:widowControl/>
              <w:tabs>
                <w:tab w:val="left" w:pos="0"/>
              </w:tabs>
              <w:suppressAutoHyphens/>
              <w:wordWrap/>
              <w:autoSpaceDE/>
              <w:autoSpaceDN/>
              <w:spacing w:line="240" w:lineRule="atLeast"/>
              <w:jc w:val="left"/>
              <w:rPr>
                <w:rFonts w:ascii="Times" w:eastAsia="DengXian" w:hAnsi="Times"/>
                <w:iCs/>
                <w:lang w:val="en-GB" w:eastAsia="zh-CN"/>
              </w:rPr>
            </w:pPr>
          </w:p>
        </w:tc>
      </w:tr>
    </w:tbl>
    <w:p w14:paraId="352BE22E" w14:textId="1AA5182E" w:rsidR="00C1359B" w:rsidRPr="00BF4F00" w:rsidRDefault="00C1359B" w:rsidP="00C1359B">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lastRenderedPageBreak/>
        <w:t>As specified in TS 22.137, the 5G system should deliver sensing results that meet performance requirements across various scenarios, such as object detection and tracking, environment monitoring, and motion monitoring.</w:t>
      </w:r>
      <w:r w:rsidRPr="00BF4F00">
        <w:rPr>
          <w:rFonts w:ascii="Calibri" w:eastAsia="바탕" w:hAnsi="Calibri" w:cs="Calibri" w:hint="eastAsia"/>
          <w:sz w:val="22"/>
        </w:rPr>
        <w:t xml:space="preserve"> </w:t>
      </w:r>
      <w:r w:rsidRPr="00BF4F00">
        <w:rPr>
          <w:rFonts w:ascii="Calibri" w:eastAsia="바탕" w:hAnsi="Calibri" w:cs="Calibri"/>
          <w:sz w:val="22"/>
        </w:rPr>
        <w:t>For </w:t>
      </w:r>
      <w:proofErr w:type="spellStart"/>
      <w:r w:rsidRPr="00BF4F00">
        <w:rPr>
          <w:rFonts w:ascii="Calibri" w:eastAsia="바탕" w:hAnsi="Calibri" w:cs="Calibri"/>
          <w:sz w:val="22"/>
        </w:rPr>
        <w:t>gNB</w:t>
      </w:r>
      <w:proofErr w:type="spellEnd"/>
      <w:r w:rsidRPr="00BF4F00">
        <w:rPr>
          <w:rFonts w:ascii="Calibri" w:eastAsia="바탕" w:hAnsi="Calibri" w:cs="Calibri"/>
          <w:sz w:val="22"/>
        </w:rPr>
        <w:t>-based mono-static sensing in the UAV use case, it is practical to focus on the object detection and tracking scenario to reduce effort within limited time constraints. The performance metrics can initially reference the parameters defined in TS 22.137.</w:t>
      </w:r>
      <w:r w:rsidRPr="00BF4F00">
        <w:rPr>
          <w:rFonts w:ascii="Calibri" w:eastAsia="바탕" w:hAnsi="Calibri" w:cs="Calibri" w:hint="eastAsia"/>
          <w:sz w:val="22"/>
        </w:rPr>
        <w:t xml:space="preserve"> </w:t>
      </w:r>
      <w:r w:rsidRPr="00BF4F00">
        <w:rPr>
          <w:rFonts w:ascii="Calibri" w:eastAsia="바탕" w:hAnsi="Calibri" w:cs="Calibri"/>
          <w:sz w:val="22"/>
        </w:rPr>
        <w:t xml:space="preserve">However, further refinement is needed from a sensing-specific perspective. For example, in a single </w:t>
      </w:r>
      <w:proofErr w:type="spellStart"/>
      <w:r w:rsidRPr="00BF4F00">
        <w:rPr>
          <w:rFonts w:ascii="Calibri" w:eastAsia="바탕" w:hAnsi="Calibri" w:cs="Calibri"/>
          <w:sz w:val="22"/>
        </w:rPr>
        <w:t>gNB</w:t>
      </w:r>
      <w:proofErr w:type="spellEnd"/>
      <w:r w:rsidRPr="00BF4F00">
        <w:rPr>
          <w:rFonts w:ascii="Calibri" w:eastAsia="바탕" w:hAnsi="Calibri" w:cs="Calibri"/>
          <w:sz w:val="22"/>
        </w:rPr>
        <w:t>-based sensing setup, object positioning may rely on range and angle, which suggests the need to adjust and enhance the performance metrics accordingly.</w:t>
      </w:r>
      <w:r w:rsidRPr="00BF4F00">
        <w:rPr>
          <w:rFonts w:ascii="Calibri" w:eastAsia="바탕" w:hAnsi="Calibri" w:cs="Calibri" w:hint="eastAsia"/>
          <w:sz w:val="22"/>
        </w:rPr>
        <w:t xml:space="preserve"> </w:t>
      </w:r>
    </w:p>
    <w:p w14:paraId="3069D2E0" w14:textId="75D7FF7B" w:rsidR="00946306" w:rsidRPr="00BF4F00" w:rsidRDefault="00946306" w:rsidP="00946306">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1: </w:t>
      </w:r>
      <w:r w:rsidRPr="00BF4F00">
        <w:rPr>
          <w:rFonts w:ascii="Calibri" w:eastAsia="바탕" w:hAnsi="Calibri" w:cs="Calibri" w:hint="eastAsia"/>
          <w:i/>
          <w:sz w:val="22"/>
        </w:rPr>
        <w:t>Consider p</w:t>
      </w:r>
      <w:r w:rsidRPr="00BF4F00">
        <w:rPr>
          <w:rFonts w:ascii="Calibri" w:eastAsia="바탕" w:hAnsi="Calibri" w:cs="Calibri"/>
          <w:i/>
          <w:sz w:val="22"/>
        </w:rPr>
        <w:t xml:space="preserve">erformance requirements in TS22.137 </w:t>
      </w:r>
      <w:r w:rsidRPr="00BF4F00">
        <w:rPr>
          <w:rFonts w:ascii="Calibri" w:eastAsia="바탕" w:hAnsi="Calibri" w:cs="Calibri" w:hint="eastAsia"/>
          <w:i/>
          <w:sz w:val="22"/>
        </w:rPr>
        <w:t xml:space="preserve">as </w:t>
      </w:r>
      <w:r w:rsidRPr="00BF4F00">
        <w:rPr>
          <w:rFonts w:ascii="Calibri" w:eastAsia="바탕" w:hAnsi="Calibri" w:cs="Calibri"/>
          <w:i/>
          <w:sz w:val="22"/>
        </w:rPr>
        <w:t>a starting point</w:t>
      </w:r>
      <w:r w:rsidRPr="00BF4F00">
        <w:rPr>
          <w:rFonts w:ascii="Calibri" w:eastAsia="바탕" w:hAnsi="Calibri" w:cs="Calibri" w:hint="eastAsia"/>
          <w:i/>
          <w:sz w:val="22"/>
        </w:rPr>
        <w:t xml:space="preserve"> for the performance </w:t>
      </w:r>
      <w:r w:rsidRPr="00BF4F00">
        <w:rPr>
          <w:rFonts w:ascii="Calibri" w:eastAsia="바탕" w:hAnsi="Calibri" w:cs="Calibri"/>
          <w:i/>
          <w:sz w:val="22"/>
        </w:rPr>
        <w:t>evaluation</w:t>
      </w:r>
      <w:r w:rsidRPr="00BF4F00">
        <w:rPr>
          <w:rFonts w:ascii="Calibri" w:eastAsia="바탕" w:hAnsi="Calibri" w:cs="Calibri" w:hint="eastAsia"/>
          <w:i/>
          <w:sz w:val="22"/>
        </w:rPr>
        <w:t xml:space="preserve"> metrics focusing on detection and tracking scenarios. In addition, </w:t>
      </w:r>
      <w:r w:rsidR="000C7655" w:rsidRPr="00BF4F00">
        <w:rPr>
          <w:rFonts w:ascii="Calibri" w:eastAsia="바탕" w:hAnsi="Calibri" w:cs="Calibri" w:hint="eastAsia"/>
          <w:i/>
          <w:sz w:val="22"/>
        </w:rPr>
        <w:t xml:space="preserve">further </w:t>
      </w:r>
      <w:r w:rsidRPr="00BF4F00">
        <w:rPr>
          <w:rFonts w:ascii="Calibri" w:eastAsia="바탕" w:hAnsi="Calibri" w:cs="Calibri" w:hint="eastAsia"/>
          <w:i/>
          <w:sz w:val="22"/>
        </w:rPr>
        <w:t xml:space="preserve">study whether </w:t>
      </w:r>
      <w:r w:rsidR="00851636" w:rsidRPr="00BF4F00">
        <w:rPr>
          <w:rFonts w:ascii="Calibri" w:eastAsia="바탕" w:hAnsi="Calibri" w:cs="Calibri" w:hint="eastAsia"/>
          <w:i/>
          <w:sz w:val="22"/>
        </w:rPr>
        <w:t xml:space="preserve">the performance metrics </w:t>
      </w:r>
      <w:r w:rsidRPr="00BF4F00">
        <w:rPr>
          <w:rFonts w:ascii="Calibri" w:eastAsia="바탕" w:hAnsi="Calibri" w:cs="Calibri" w:hint="eastAsia"/>
          <w:i/>
          <w:sz w:val="22"/>
        </w:rPr>
        <w:t>nee</w:t>
      </w:r>
      <w:r w:rsidR="00851636" w:rsidRPr="00BF4F00">
        <w:rPr>
          <w:rFonts w:ascii="Calibri" w:eastAsia="바탕" w:hAnsi="Calibri" w:cs="Calibri" w:hint="eastAsia"/>
          <w:i/>
          <w:sz w:val="22"/>
        </w:rPr>
        <w:t>d to be refined.</w:t>
      </w:r>
    </w:p>
    <w:p w14:paraId="746BC649" w14:textId="4AB9B2C6" w:rsidR="00C1359B" w:rsidRPr="00BF4F00" w:rsidRDefault="00C1359B" w:rsidP="00C1359B">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To meet the requirements, it’s important to define the necessary measurements. Typically, delay, Doppler, and angle measurements can be translated into object location information, which are essential for detection and tracking.</w:t>
      </w:r>
      <w:r w:rsidRPr="00BF4F00">
        <w:rPr>
          <w:rFonts w:ascii="Calibri" w:eastAsia="바탕" w:hAnsi="Calibri" w:cs="Calibri" w:hint="eastAsia"/>
          <w:sz w:val="22"/>
        </w:rPr>
        <w:t xml:space="preserve"> </w:t>
      </w:r>
      <w:r w:rsidRPr="00BF4F00">
        <w:rPr>
          <w:rFonts w:ascii="Calibri" w:eastAsia="바탕" w:hAnsi="Calibri" w:cs="Calibri"/>
          <w:sz w:val="22"/>
        </w:rPr>
        <w:t>However, reporting raw measurement data—such as full delay/Doppler/angle spectra—can be burdensome.</w:t>
      </w:r>
      <w:r w:rsidR="00707ACE" w:rsidRPr="00BF4F00">
        <w:rPr>
          <w:rFonts w:ascii="Calibri" w:eastAsia="바탕" w:hAnsi="Calibri" w:cs="Calibri" w:hint="eastAsia"/>
          <w:sz w:val="22"/>
        </w:rPr>
        <w:t xml:space="preserve"> </w:t>
      </w:r>
      <w:r w:rsidR="00707ACE" w:rsidRPr="00BF4F00">
        <w:rPr>
          <w:rFonts w:ascii="Calibri" w:eastAsia="바탕" w:hAnsi="Calibri" w:cs="Calibri"/>
          <w:sz w:val="22"/>
        </w:rPr>
        <w:t>In addition, the </w:t>
      </w:r>
      <w:proofErr w:type="spellStart"/>
      <w:r w:rsidR="00707ACE" w:rsidRPr="00BF4F00">
        <w:rPr>
          <w:rFonts w:ascii="Calibri" w:eastAsia="바탕" w:hAnsi="Calibri" w:cs="Calibri"/>
          <w:sz w:val="22"/>
        </w:rPr>
        <w:t>gNB</w:t>
      </w:r>
      <w:proofErr w:type="spellEnd"/>
      <w:r w:rsidR="00707ACE" w:rsidRPr="00BF4F00">
        <w:rPr>
          <w:rFonts w:ascii="Calibri" w:eastAsia="바탕" w:hAnsi="Calibri" w:cs="Calibri"/>
          <w:sz w:val="22"/>
        </w:rPr>
        <w:t xml:space="preserve"> is equipped with computational capabilities and can perform complex signal processing, which helps reduce the need to report raw data directly.</w:t>
      </w:r>
      <w:r w:rsidRPr="00BF4F00">
        <w:rPr>
          <w:rFonts w:ascii="Calibri" w:eastAsia="바탕" w:hAnsi="Calibri" w:cs="Calibri"/>
          <w:sz w:val="22"/>
        </w:rPr>
        <w:t xml:space="preserve"> For 5G-A ISAC scenarios focused on detection and tracking, it is generally sufficient to report estimated values (e.g., delay, Doppler, direction) or measured time, frequency, and angle.</w:t>
      </w:r>
      <w:r w:rsidRPr="00BF4F00">
        <w:rPr>
          <w:rFonts w:ascii="Calibri" w:eastAsia="바탕" w:hAnsi="Calibri" w:cs="Calibri" w:hint="eastAsia"/>
          <w:sz w:val="22"/>
        </w:rPr>
        <w:t xml:space="preserve"> </w:t>
      </w:r>
      <w:r w:rsidRPr="00BF4F00">
        <w:rPr>
          <w:rFonts w:ascii="Calibri" w:eastAsia="바탕" w:hAnsi="Calibri" w:cs="Calibri"/>
          <w:sz w:val="22"/>
        </w:rPr>
        <w:t>For future 6G ISAC systems, we may need to explore extended use cases that require raw data or additional measurements like RCS and micro-Doppler.</w:t>
      </w:r>
    </w:p>
    <w:p w14:paraId="066CAAA3" w14:textId="4C609D1F" w:rsidR="00377468" w:rsidRPr="00BF4F00" w:rsidRDefault="00377468" w:rsidP="000C7655">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2</w:t>
      </w:r>
      <w:r w:rsidRPr="00BF4F00">
        <w:rPr>
          <w:rFonts w:ascii="Calibri" w:eastAsia="바탕" w:hAnsi="Calibri" w:cs="Calibri"/>
          <w:b/>
          <w:i/>
          <w:sz w:val="22"/>
        </w:rPr>
        <w:t xml:space="preserve">: </w:t>
      </w:r>
      <w:r w:rsidR="00A62DDF" w:rsidRPr="00DF3B63">
        <w:rPr>
          <w:rFonts w:ascii="Calibri" w:eastAsia="바탕" w:hAnsi="Calibri" w:cs="Calibri"/>
          <w:i/>
          <w:sz w:val="22"/>
        </w:rPr>
        <w:t xml:space="preserve">At least for </w:t>
      </w:r>
      <w:r w:rsidR="00A62DDF" w:rsidRPr="00BF4F00">
        <w:rPr>
          <w:rFonts w:ascii="Calibri" w:eastAsia="바탕" w:hAnsi="Calibri" w:cs="Calibri" w:hint="eastAsia"/>
          <w:i/>
          <w:sz w:val="22"/>
        </w:rPr>
        <w:t>5G-A ISAC,</w:t>
      </w:r>
      <w:r w:rsidR="000C7655" w:rsidRPr="00BF4F00">
        <w:rPr>
          <w:rFonts w:ascii="Calibri" w:eastAsia="바탕" w:hAnsi="Calibri" w:cs="Calibri"/>
          <w:i/>
          <w:sz w:val="22"/>
        </w:rPr>
        <w:t xml:space="preserve"> </w:t>
      </w:r>
      <w:r w:rsidR="000C7655" w:rsidRPr="00BF4F00">
        <w:rPr>
          <w:rFonts w:ascii="Calibri" w:eastAsia="바탕" w:hAnsi="Calibri" w:cs="Calibri" w:hint="eastAsia"/>
          <w:i/>
          <w:sz w:val="22"/>
        </w:rPr>
        <w:t xml:space="preserve">it </w:t>
      </w:r>
      <w:r w:rsidR="000C7655" w:rsidRPr="00BF4F00">
        <w:rPr>
          <w:rFonts w:ascii="Calibri" w:eastAsia="바탕" w:hAnsi="Calibri" w:cs="Calibri"/>
          <w:i/>
          <w:sz w:val="22"/>
        </w:rPr>
        <w:t>is preferable to report estimated values or measurement</w:t>
      </w:r>
      <w:r w:rsidR="00CC16CD" w:rsidRPr="00BF4F00">
        <w:rPr>
          <w:rFonts w:ascii="Calibri" w:eastAsia="바탕" w:hAnsi="Calibri" w:cs="Calibri" w:hint="eastAsia"/>
          <w:i/>
          <w:sz w:val="22"/>
        </w:rPr>
        <w:t xml:space="preserve"> results</w:t>
      </w:r>
      <w:r w:rsidR="00A62DDF" w:rsidRPr="00BF4F00">
        <w:rPr>
          <w:rFonts w:ascii="Calibri" w:eastAsia="바탕" w:hAnsi="Calibri" w:cs="Calibri" w:hint="eastAsia"/>
          <w:i/>
          <w:sz w:val="22"/>
        </w:rPr>
        <w:t xml:space="preserve"> (e.g., </w:t>
      </w:r>
      <w:r w:rsidR="00A62DDF" w:rsidRPr="00BF4F00">
        <w:rPr>
          <w:rFonts w:ascii="Calibri" w:eastAsia="바탕" w:hAnsi="Calibri" w:cs="Calibri"/>
          <w:i/>
          <w:sz w:val="22"/>
        </w:rPr>
        <w:t xml:space="preserve">delay, Doppler, and </w:t>
      </w:r>
      <w:r w:rsidR="00A62DDF" w:rsidRPr="00BF4F00">
        <w:rPr>
          <w:rFonts w:ascii="Calibri" w:eastAsia="바탕" w:hAnsi="Calibri" w:cs="Calibri" w:hint="eastAsia"/>
          <w:i/>
          <w:sz w:val="22"/>
        </w:rPr>
        <w:t>direction)</w:t>
      </w:r>
      <w:r w:rsidR="000C7655" w:rsidRPr="00BF4F00">
        <w:rPr>
          <w:rFonts w:ascii="Calibri" w:eastAsia="바탕" w:hAnsi="Calibri" w:cs="Calibri"/>
          <w:i/>
          <w:sz w:val="22"/>
        </w:rPr>
        <w:t xml:space="preserve"> rather than raw data</w:t>
      </w:r>
      <w:r w:rsidR="00635856" w:rsidRPr="00BF4F00">
        <w:rPr>
          <w:rFonts w:ascii="Calibri" w:eastAsia="바탕" w:hAnsi="Calibri" w:cs="Calibri" w:hint="eastAsia"/>
          <w:i/>
          <w:sz w:val="22"/>
        </w:rPr>
        <w:t xml:space="preserve"> </w:t>
      </w:r>
      <w:r w:rsidR="00A62DDF" w:rsidRPr="00BF4F00">
        <w:rPr>
          <w:rFonts w:ascii="Calibri" w:eastAsia="바탕" w:hAnsi="Calibri" w:cs="Calibri" w:hint="eastAsia"/>
          <w:i/>
          <w:sz w:val="22"/>
        </w:rPr>
        <w:t xml:space="preserve">(e.g., </w:t>
      </w:r>
      <w:r w:rsidR="00635856" w:rsidRPr="00BF4F00">
        <w:rPr>
          <w:rFonts w:ascii="Calibri" w:eastAsia="바탕" w:hAnsi="Calibri" w:cs="Calibri" w:hint="eastAsia"/>
          <w:i/>
          <w:sz w:val="22"/>
        </w:rPr>
        <w:t xml:space="preserve">full CIR </w:t>
      </w:r>
      <w:r w:rsidR="00A62DDF" w:rsidRPr="00BF4F00">
        <w:rPr>
          <w:rFonts w:ascii="Calibri" w:eastAsia="바탕" w:hAnsi="Calibri" w:cs="Calibri" w:hint="eastAsia"/>
          <w:i/>
          <w:sz w:val="22"/>
        </w:rPr>
        <w:t xml:space="preserve">and </w:t>
      </w:r>
      <w:r w:rsidR="00635856" w:rsidRPr="00BF4F00">
        <w:rPr>
          <w:rFonts w:ascii="Calibri" w:eastAsia="바탕" w:hAnsi="Calibri" w:cs="Calibri" w:hint="eastAsia"/>
          <w:i/>
          <w:sz w:val="22"/>
        </w:rPr>
        <w:t>spectrum</w:t>
      </w:r>
      <w:r w:rsidR="00A62DDF" w:rsidRPr="00BF4F00">
        <w:rPr>
          <w:rFonts w:ascii="Calibri" w:eastAsia="바탕" w:hAnsi="Calibri" w:cs="Calibri" w:hint="eastAsia"/>
          <w:i/>
          <w:sz w:val="22"/>
        </w:rPr>
        <w:t>)</w:t>
      </w:r>
      <w:r w:rsidR="00C1359B" w:rsidRPr="00BF4F00">
        <w:rPr>
          <w:rFonts w:ascii="Calibri" w:eastAsia="바탕" w:hAnsi="Calibri" w:cs="Calibri" w:hint="eastAsia"/>
          <w:i/>
          <w:sz w:val="22"/>
        </w:rPr>
        <w:t xml:space="preserve"> from the perspective of reporting efficiency</w:t>
      </w:r>
      <w:r w:rsidR="000C7655" w:rsidRPr="00BF4F00">
        <w:rPr>
          <w:rFonts w:ascii="Calibri" w:eastAsia="바탕" w:hAnsi="Calibri" w:cs="Calibri"/>
          <w:i/>
          <w:sz w:val="22"/>
        </w:rPr>
        <w:t>.</w:t>
      </w:r>
    </w:p>
    <w:p w14:paraId="1BDF22AD" w14:textId="7402B2BF" w:rsidR="00A21E0F" w:rsidRPr="00BF4F00" w:rsidRDefault="00707ACE" w:rsidP="00A21E0F">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Meanwhile, further study is needed on the specific quantities to be reported. While TS 38.215 </w:t>
      </w:r>
      <w:r w:rsidR="00B32F2F">
        <w:rPr>
          <w:rFonts w:ascii="Calibri" w:eastAsia="바탕" w:hAnsi="Calibri" w:cs="Calibri"/>
          <w:sz w:val="22"/>
        </w:rPr>
        <w:t xml:space="preserve">[2] </w:t>
      </w:r>
      <w:r w:rsidRPr="00BF4F00">
        <w:rPr>
          <w:rFonts w:ascii="Calibri" w:eastAsia="바탕" w:hAnsi="Calibri" w:cs="Calibri"/>
          <w:sz w:val="22"/>
        </w:rPr>
        <w:t>defines measurements related to time and angle (e.g., time difference, angle of arrival), adjustments are clearly needed, and Doppler-related measurements must be newly defined.</w:t>
      </w:r>
      <w:r w:rsidR="00881B8F" w:rsidRPr="00BF4F00">
        <w:rPr>
          <w:rFonts w:ascii="Calibri" w:eastAsia="바탕" w:hAnsi="Calibri" w:cs="Calibri" w:hint="eastAsia"/>
          <w:sz w:val="22"/>
        </w:rPr>
        <w:t xml:space="preserve"> </w:t>
      </w:r>
      <w:r w:rsidRPr="00BF4F00">
        <w:rPr>
          <w:rFonts w:ascii="Calibri" w:eastAsia="바탕" w:hAnsi="Calibri" w:cs="Calibri"/>
          <w:sz w:val="22"/>
        </w:rPr>
        <w:t>For example, Doppler can be measured as the average phase variation over a time interval at fixed frequency resource elements, or across multiple symbols using the instantaneous channel impulse response.</w:t>
      </w:r>
      <w:r w:rsidR="00881B8F" w:rsidRPr="00BF4F00">
        <w:rPr>
          <w:rFonts w:ascii="Calibri" w:eastAsia="바탕" w:hAnsi="Calibri" w:cs="Calibri" w:hint="eastAsia"/>
          <w:sz w:val="22"/>
        </w:rPr>
        <w:t xml:space="preserve"> </w:t>
      </w:r>
      <w:r w:rsidRPr="00BF4F00">
        <w:rPr>
          <w:rFonts w:ascii="Calibri" w:eastAsia="바탕" w:hAnsi="Calibri" w:cs="Calibri"/>
          <w:sz w:val="22"/>
        </w:rPr>
        <w:t>For time and angle measurements, the reference point and granularity for estimating</w:t>
      </w:r>
      <w:r w:rsidR="00881B8F" w:rsidRPr="00BF4F00">
        <w:rPr>
          <w:rFonts w:ascii="Calibri" w:eastAsia="바탕" w:hAnsi="Calibri" w:cs="Calibri" w:hint="eastAsia"/>
          <w:sz w:val="22"/>
        </w:rPr>
        <w:t xml:space="preserve"> and reporting</w:t>
      </w:r>
      <w:r w:rsidRPr="00BF4F00">
        <w:rPr>
          <w:rFonts w:ascii="Calibri" w:eastAsia="바탕" w:hAnsi="Calibri" w:cs="Calibri"/>
          <w:sz w:val="22"/>
        </w:rPr>
        <w:t xml:space="preserve"> range and direction should be clearly refined from a sensing perspective.</w:t>
      </w:r>
      <w:r w:rsidR="00BB4946" w:rsidRPr="00BF4F00">
        <w:rPr>
          <w:rFonts w:ascii="Calibri" w:eastAsia="바탕" w:hAnsi="Calibri" w:cs="Calibri" w:hint="eastAsia"/>
          <w:sz w:val="22"/>
        </w:rPr>
        <w:t xml:space="preserve"> </w:t>
      </w:r>
      <w:r w:rsidR="000C412D" w:rsidRPr="00BF4F00">
        <w:rPr>
          <w:rFonts w:ascii="Calibri" w:eastAsia="바탕" w:hAnsi="Calibri" w:cs="Calibri"/>
          <w:sz w:val="22"/>
        </w:rPr>
        <w:t xml:space="preserve">In </w:t>
      </w:r>
      <w:proofErr w:type="spellStart"/>
      <w:r w:rsidR="000C412D" w:rsidRPr="00BF4F00">
        <w:rPr>
          <w:rFonts w:ascii="Calibri" w:eastAsia="바탕" w:hAnsi="Calibri" w:cs="Calibri"/>
          <w:sz w:val="22"/>
        </w:rPr>
        <w:t>gNB</w:t>
      </w:r>
      <w:proofErr w:type="spellEnd"/>
      <w:r w:rsidR="000C412D" w:rsidRPr="00BF4F00">
        <w:rPr>
          <w:rFonts w:ascii="Calibri" w:eastAsia="바탕" w:hAnsi="Calibri" w:cs="Calibri"/>
          <w:sz w:val="22"/>
        </w:rPr>
        <w:t xml:space="preserve">-based monostatic scenarios, the propagation delay and angle of arrival of the target channel can be determined by measuring the transmission time and direction relative to either a local or global timing and coordinate system. </w:t>
      </w:r>
    </w:p>
    <w:p w14:paraId="13B340C8" w14:textId="01EFEC3D" w:rsidR="00707ACE" w:rsidRPr="00BF4F00" w:rsidRDefault="00A21E0F" w:rsidP="00A21E0F">
      <w:pPr>
        <w:wordWrap/>
        <w:adjustRightInd w:val="0"/>
        <w:snapToGrid w:val="0"/>
        <w:spacing w:before="100" w:beforeAutospacing="1" w:afterLines="50" w:after="120" w:line="264" w:lineRule="auto"/>
        <w:ind w:firstLine="425"/>
        <w:rPr>
          <w:rFonts w:ascii="Calibri" w:eastAsia="바탕" w:hAnsi="Calibri" w:cs="Calibri"/>
          <w:sz w:val="22"/>
        </w:rPr>
      </w:pPr>
      <w:r w:rsidRPr="00841E38">
        <w:rPr>
          <w:rFonts w:ascii="Calibri" w:eastAsia="바탕" w:hAnsi="Calibri" w:cs="Calibri"/>
          <w:sz w:val="22"/>
        </w:rPr>
        <w:t>F</w:t>
      </w:r>
      <w:r w:rsidRPr="00BF4F00">
        <w:rPr>
          <w:rFonts w:ascii="Calibri" w:eastAsia="바탕" w:hAnsi="Calibri" w:cs="Calibri" w:hint="eastAsia"/>
          <w:sz w:val="22"/>
        </w:rPr>
        <w:t xml:space="preserve">or </w:t>
      </w:r>
      <w:r w:rsidR="006A36C0" w:rsidRPr="00BF4F00">
        <w:rPr>
          <w:rFonts w:ascii="Calibri" w:eastAsia="바탕" w:hAnsi="Calibri" w:cs="Calibri" w:hint="eastAsia"/>
          <w:sz w:val="22"/>
        </w:rPr>
        <w:t>defining</w:t>
      </w:r>
      <w:r w:rsidRPr="00BF4F00">
        <w:rPr>
          <w:rFonts w:ascii="Calibri" w:eastAsia="바탕" w:hAnsi="Calibri" w:cs="Calibri" w:hint="eastAsia"/>
          <w:sz w:val="22"/>
        </w:rPr>
        <w:t xml:space="preserve"> of measurement reporting</w:t>
      </w:r>
      <w:r w:rsidRPr="00BF4F00">
        <w:rPr>
          <w:rFonts w:ascii="Calibri" w:eastAsia="바탕" w:hAnsi="Calibri" w:cs="Calibri"/>
          <w:sz w:val="22"/>
        </w:rPr>
        <w:t xml:space="preserve">, the measurement value for each detected target can be individually reported, and the total number of detected targets can be provided alongside the </w:t>
      </w:r>
      <w:r w:rsidRPr="00BF4F00">
        <w:rPr>
          <w:rFonts w:ascii="Calibri" w:eastAsia="바탕" w:hAnsi="Calibri" w:cs="Calibri"/>
          <w:sz w:val="22"/>
        </w:rPr>
        <w:lastRenderedPageBreak/>
        <w:t>measurement results to support accurate mapping of estimated values to each target. To determine the number of detected targets, thresholds based on received power or radar cross-sectional area (RCS) per path or target may be required to evaluate detectability and reportability. In such cases, only measurements that satisfy these thresholds are reported, while targets that fall below the criteria are excluded.</w:t>
      </w:r>
      <w:r w:rsidRPr="00BF4F00">
        <w:rPr>
          <w:rFonts w:ascii="Calibri" w:eastAsia="바탕" w:hAnsi="Calibri" w:cs="Calibri" w:hint="eastAsia"/>
          <w:sz w:val="22"/>
        </w:rPr>
        <w:t xml:space="preserve"> </w:t>
      </w:r>
      <w:r w:rsidR="00636F53" w:rsidRPr="00BF4F00">
        <w:rPr>
          <w:rFonts w:ascii="Calibri" w:eastAsia="바탕" w:hAnsi="Calibri" w:cs="Calibri"/>
          <w:sz w:val="22"/>
        </w:rPr>
        <w:t xml:space="preserve">These detectability-related measurements can serve as metrics for monitoring the sensing link, reflecting the sensing capacity or the remaining volume </w:t>
      </w:r>
      <w:r w:rsidR="00636F53" w:rsidRPr="00BF4F00">
        <w:rPr>
          <w:rFonts w:ascii="Calibri" w:eastAsia="바탕" w:hAnsi="Calibri" w:cs="Calibri" w:hint="eastAsia"/>
          <w:sz w:val="22"/>
        </w:rPr>
        <w:t>for</w:t>
      </w:r>
      <w:r w:rsidR="00636F53" w:rsidRPr="00BF4F00">
        <w:rPr>
          <w:rFonts w:ascii="Calibri" w:eastAsia="바탕" w:hAnsi="Calibri" w:cs="Calibri"/>
          <w:sz w:val="22"/>
        </w:rPr>
        <w:t xml:space="preserve"> a </w:t>
      </w:r>
      <w:r w:rsidR="00636F53" w:rsidRPr="00BF4F00">
        <w:rPr>
          <w:rFonts w:ascii="Calibri" w:eastAsia="바탕" w:hAnsi="Calibri" w:cs="Calibri" w:hint="eastAsia"/>
          <w:sz w:val="22"/>
        </w:rPr>
        <w:t xml:space="preserve">given </w:t>
      </w:r>
      <w:r w:rsidR="00636F53" w:rsidRPr="00BF4F00">
        <w:rPr>
          <w:rFonts w:ascii="Calibri" w:eastAsia="바탕" w:hAnsi="Calibri" w:cs="Calibri"/>
          <w:sz w:val="22"/>
        </w:rPr>
        <w:t>resolvability.</w:t>
      </w:r>
      <w:r w:rsidR="009B5D9D" w:rsidRPr="00BF4F00">
        <w:rPr>
          <w:rFonts w:ascii="Calibri" w:eastAsia="바탕" w:hAnsi="Calibri" w:cs="Calibri" w:hint="eastAsia"/>
          <w:sz w:val="22"/>
        </w:rPr>
        <w:t xml:space="preserve"> </w:t>
      </w:r>
      <w:r w:rsidR="000C412D" w:rsidRPr="00BF4F00">
        <w:rPr>
          <w:rFonts w:ascii="Calibri" w:eastAsia="바탕" w:hAnsi="Calibri" w:cs="Calibri"/>
          <w:sz w:val="22"/>
        </w:rPr>
        <w:t xml:space="preserve">Therefore, clear definitions </w:t>
      </w:r>
      <w:r w:rsidR="000C412D" w:rsidRPr="00BF4F00">
        <w:rPr>
          <w:rFonts w:ascii="Calibri" w:eastAsia="바탕" w:hAnsi="Calibri" w:cs="Calibri" w:hint="eastAsia"/>
          <w:sz w:val="22"/>
        </w:rPr>
        <w:t>of measurement reporting</w:t>
      </w:r>
      <w:r w:rsidR="000C412D" w:rsidRPr="00BF4F00">
        <w:rPr>
          <w:rFonts w:ascii="Calibri" w:eastAsia="바탕" w:hAnsi="Calibri" w:cs="Calibri"/>
          <w:sz w:val="22"/>
        </w:rPr>
        <w:t xml:space="preserve"> for time, angle, and Doppler-related measurements are essential to enable accurate sensing</w:t>
      </w:r>
      <w:r w:rsidRPr="00BF4F00">
        <w:rPr>
          <w:rFonts w:ascii="Calibri" w:eastAsia="바탕" w:hAnsi="Calibri" w:cs="Calibri" w:hint="eastAsia"/>
          <w:sz w:val="22"/>
        </w:rPr>
        <w:t>.</w:t>
      </w:r>
    </w:p>
    <w:p w14:paraId="119F6F32" w14:textId="71C6E72E" w:rsidR="00881B8F" w:rsidRPr="00BF4F00" w:rsidRDefault="00881B8F" w:rsidP="00A96706">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In addition, the quantization methods for these measurements should be discussed in relation to the target requirements. Defining reference points, granularity, and value ranges can improve reporting efficiency and accuracy.</w:t>
      </w:r>
      <w:r w:rsidR="00DE363C" w:rsidRPr="00BF4F00">
        <w:rPr>
          <w:rFonts w:ascii="Calibri" w:eastAsia="바탕" w:hAnsi="Calibri" w:cs="Calibri" w:hint="eastAsia"/>
          <w:sz w:val="22"/>
        </w:rPr>
        <w:t xml:space="preserve"> </w:t>
      </w:r>
      <w:r w:rsidRPr="00BF4F00">
        <w:rPr>
          <w:rFonts w:ascii="Calibri" w:eastAsia="바탕" w:hAnsi="Calibri" w:cs="Calibri"/>
          <w:sz w:val="22"/>
        </w:rPr>
        <w:t>For instance, Doppler-related quantities</w:t>
      </w:r>
      <w:r w:rsidR="00DE363C" w:rsidRPr="00BF4F00">
        <w:rPr>
          <w:rFonts w:ascii="Calibri" w:eastAsia="바탕" w:hAnsi="Calibri" w:cs="Calibri" w:hint="eastAsia"/>
          <w:sz w:val="22"/>
        </w:rPr>
        <w:t xml:space="preserve"> to be reported</w:t>
      </w:r>
      <w:r w:rsidRPr="00BF4F00">
        <w:rPr>
          <w:rFonts w:ascii="Calibri" w:eastAsia="바탕" w:hAnsi="Calibri" w:cs="Calibri"/>
          <w:sz w:val="22"/>
        </w:rPr>
        <w:t xml:space="preserve"> can be expressed with specific granularity, such as symbol-length-based time resolution or sampling-rate-based frequency resolution</w:t>
      </w:r>
      <w:r w:rsidR="00DE363C" w:rsidRPr="00BF4F00">
        <w:rPr>
          <w:rFonts w:ascii="Calibri" w:eastAsia="바탕" w:hAnsi="Calibri" w:cs="Calibri" w:hint="eastAsia"/>
          <w:sz w:val="22"/>
        </w:rPr>
        <w:t>. Specifically, t</w:t>
      </w:r>
      <w:r w:rsidR="00DE363C" w:rsidRPr="00BF4F00">
        <w:rPr>
          <w:rFonts w:ascii="Calibri" w:eastAsia="바탕" w:hAnsi="Calibri" w:cs="Calibri"/>
          <w:sz w:val="22"/>
        </w:rPr>
        <w:t xml:space="preserve">he quantities can be efficiently represented within a </w:t>
      </w:r>
      <w:r w:rsidR="00DE363C" w:rsidRPr="00BF4F00">
        <w:rPr>
          <w:rFonts w:ascii="Calibri" w:eastAsia="바탕" w:hAnsi="Calibri" w:cs="Calibri" w:hint="eastAsia"/>
          <w:sz w:val="22"/>
        </w:rPr>
        <w:t>pre-</w:t>
      </w:r>
      <w:r w:rsidR="00DE363C" w:rsidRPr="00BF4F00">
        <w:rPr>
          <w:rFonts w:ascii="Calibri" w:eastAsia="바탕" w:hAnsi="Calibri" w:cs="Calibri"/>
          <w:sz w:val="22"/>
        </w:rPr>
        <w:t>defined range based on reference points, using integer multiples of granularity.</w:t>
      </w:r>
      <w:r w:rsidR="00DE363C" w:rsidRPr="00BF4F00">
        <w:rPr>
          <w:rFonts w:ascii="Calibri" w:eastAsia="바탕" w:hAnsi="Calibri" w:cs="Calibri" w:hint="eastAsia"/>
          <w:sz w:val="22"/>
        </w:rPr>
        <w:t xml:space="preserve"> In another way, w</w:t>
      </w:r>
      <w:r w:rsidRPr="00BF4F00">
        <w:rPr>
          <w:rFonts w:ascii="Calibri" w:eastAsia="바탕" w:hAnsi="Calibri" w:cs="Calibri"/>
          <w:sz w:val="22"/>
        </w:rPr>
        <w:t xml:space="preserve">hen additional context </w:t>
      </w:r>
      <w:r w:rsidR="00DE363C" w:rsidRPr="00BF4F00">
        <w:rPr>
          <w:rFonts w:ascii="Calibri" w:eastAsia="바탕" w:hAnsi="Calibri" w:cs="Calibri" w:hint="eastAsia"/>
          <w:sz w:val="22"/>
        </w:rPr>
        <w:t xml:space="preserve">for exploiting the </w:t>
      </w:r>
      <w:r w:rsidR="00DE363C" w:rsidRPr="00BF4F00">
        <w:rPr>
          <w:rFonts w:ascii="Calibri" w:eastAsia="바탕" w:hAnsi="Calibri" w:cs="Calibri"/>
          <w:sz w:val="22"/>
        </w:rPr>
        <w:t xml:space="preserve">predefined look-up tables </w:t>
      </w:r>
      <w:r w:rsidRPr="00BF4F00">
        <w:rPr>
          <w:rFonts w:ascii="Calibri" w:eastAsia="바탕" w:hAnsi="Calibri" w:cs="Calibri"/>
          <w:sz w:val="22"/>
        </w:rPr>
        <w:t xml:space="preserve">is available, data within a specific region can be </w:t>
      </w:r>
      <w:r w:rsidR="00DE363C" w:rsidRPr="00BF4F00">
        <w:rPr>
          <w:rFonts w:ascii="Calibri" w:eastAsia="바탕" w:hAnsi="Calibri" w:cs="Calibri" w:hint="eastAsia"/>
          <w:sz w:val="22"/>
        </w:rPr>
        <w:t xml:space="preserve">simply expressed and reported </w:t>
      </w:r>
      <w:r w:rsidR="00A96706" w:rsidRPr="00BF4F00">
        <w:rPr>
          <w:rFonts w:ascii="Calibri" w:eastAsia="바탕" w:hAnsi="Calibri" w:cs="Calibri" w:hint="eastAsia"/>
          <w:sz w:val="22"/>
        </w:rPr>
        <w:t>as compact</w:t>
      </w:r>
      <w:r w:rsidR="00DE363C" w:rsidRPr="00BF4F00">
        <w:rPr>
          <w:rFonts w:ascii="Calibri" w:eastAsia="바탕" w:hAnsi="Calibri" w:cs="Calibri" w:hint="eastAsia"/>
          <w:sz w:val="22"/>
        </w:rPr>
        <w:t xml:space="preserve"> data volume. </w:t>
      </w:r>
      <w:r w:rsidR="00DE363C" w:rsidRPr="00BF4F00">
        <w:rPr>
          <w:rFonts w:ascii="Calibri" w:eastAsia="바탕" w:hAnsi="Calibri" w:cs="Calibri"/>
          <w:sz w:val="22"/>
        </w:rPr>
        <w:t xml:space="preserve">Such </w:t>
      </w:r>
      <w:r w:rsidR="00DE363C" w:rsidRPr="00BF4F00">
        <w:rPr>
          <w:rFonts w:ascii="Calibri" w:eastAsia="바탕" w:hAnsi="Calibri" w:cs="Calibri" w:hint="eastAsia"/>
          <w:sz w:val="22"/>
        </w:rPr>
        <w:t xml:space="preserve">defining measurement quantities and </w:t>
      </w:r>
      <w:r w:rsidR="00DE363C" w:rsidRPr="00BF4F00">
        <w:rPr>
          <w:rFonts w:ascii="Calibri" w:eastAsia="바탕" w:hAnsi="Calibri" w:cs="Calibri"/>
          <w:sz w:val="22"/>
        </w:rPr>
        <w:t>mapping tables are already applied for absolute and differential reporting in TS 38.133</w:t>
      </w:r>
      <w:r w:rsidR="00DE363C" w:rsidRPr="00BF4F00">
        <w:rPr>
          <w:rFonts w:ascii="Calibri" w:eastAsia="바탕" w:hAnsi="Calibri" w:cs="Calibri" w:hint="eastAsia"/>
          <w:sz w:val="22"/>
        </w:rPr>
        <w:t xml:space="preserve">. </w:t>
      </w:r>
      <w:r w:rsidRPr="00BF4F00">
        <w:rPr>
          <w:rFonts w:ascii="Calibri" w:eastAsia="바탕" w:hAnsi="Calibri" w:cs="Calibri"/>
          <w:sz w:val="22"/>
        </w:rPr>
        <w:t>Similarly, it is important to explore how to define measurement quantities and quantization methods to enhance reporting efficiency.</w:t>
      </w:r>
    </w:p>
    <w:p w14:paraId="3E56DF62" w14:textId="465C92C7" w:rsidR="00CC16CD" w:rsidRPr="00BF4F00" w:rsidRDefault="003553B2" w:rsidP="00CF749A">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3</w:t>
      </w:r>
      <w:r w:rsidRPr="00BF4F00">
        <w:rPr>
          <w:rFonts w:ascii="Calibri" w:eastAsia="바탕" w:hAnsi="Calibri" w:cs="Calibri"/>
          <w:i/>
          <w:sz w:val="22"/>
        </w:rPr>
        <w:t xml:space="preserve">: </w:t>
      </w:r>
      <w:r w:rsidR="00A96706" w:rsidRPr="00BF4F00">
        <w:rPr>
          <w:rFonts w:ascii="Calibri" w:eastAsia="바탕" w:hAnsi="Calibri" w:cs="Calibri" w:hint="eastAsia"/>
          <w:i/>
          <w:sz w:val="22"/>
        </w:rPr>
        <w:t>S</w:t>
      </w:r>
      <w:r w:rsidR="00A96706" w:rsidRPr="00BF4F00">
        <w:rPr>
          <w:rFonts w:ascii="Calibri" w:eastAsia="바탕" w:hAnsi="Calibri" w:cs="Calibri"/>
          <w:i/>
          <w:sz w:val="22"/>
        </w:rPr>
        <w:t>tudy on defining measurement quantities for range, Doppler, and angle, as well as appropriate quantization methods, with a focus on reporting efficiency.</w:t>
      </w:r>
    </w:p>
    <w:p w14:paraId="22F94F10" w14:textId="6A99B09F" w:rsidR="00AF1064" w:rsidRPr="00BF4F00" w:rsidRDefault="00AF1064" w:rsidP="00AF1064">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Power-related measurements, such as received power, are essential for monitoring the sensing link between the </w:t>
      </w:r>
      <w:proofErr w:type="spellStart"/>
      <w:r w:rsidRPr="00BF4F00">
        <w:rPr>
          <w:rFonts w:ascii="Calibri" w:eastAsia="바탕" w:hAnsi="Calibri" w:cs="Calibri"/>
          <w:sz w:val="22"/>
        </w:rPr>
        <w:t>gNB</w:t>
      </w:r>
      <w:proofErr w:type="spellEnd"/>
      <w:r w:rsidRPr="00BF4F00">
        <w:rPr>
          <w:rFonts w:ascii="Calibri" w:eastAsia="바탕" w:hAnsi="Calibri" w:cs="Calibri"/>
          <w:sz w:val="22"/>
        </w:rPr>
        <w:t xml:space="preserve"> and the target object. Existing radio link monitoring metrics defined in TS 38.215, including RSRP and RSRPP, can serve as a basis to ensure consistency with current 5G systems.</w:t>
      </w:r>
      <w:r w:rsidRPr="00BF4F00">
        <w:rPr>
          <w:rFonts w:ascii="Calibri" w:eastAsia="바탕" w:hAnsi="Calibri" w:cs="Calibri" w:hint="eastAsia"/>
          <w:sz w:val="22"/>
        </w:rPr>
        <w:t xml:space="preserve"> </w:t>
      </w:r>
      <w:r w:rsidR="00740F76" w:rsidRPr="00BF4F00">
        <w:rPr>
          <w:rFonts w:ascii="Calibri" w:eastAsia="바탕" w:hAnsi="Calibri" w:cs="Calibri"/>
          <w:sz w:val="22"/>
        </w:rPr>
        <w:t xml:space="preserve">However, from the perspective of false alarms and missed detections, measuring received power at the resource level may be insufficient for accurately monitoring the sensing link between the </w:t>
      </w:r>
      <w:proofErr w:type="spellStart"/>
      <w:r w:rsidR="00740F76" w:rsidRPr="00BF4F00">
        <w:rPr>
          <w:rFonts w:ascii="Calibri" w:eastAsia="바탕" w:hAnsi="Calibri" w:cs="Calibri"/>
          <w:sz w:val="22"/>
        </w:rPr>
        <w:t>gNB</w:t>
      </w:r>
      <w:proofErr w:type="spellEnd"/>
      <w:r w:rsidR="00740F76" w:rsidRPr="00BF4F00">
        <w:rPr>
          <w:rFonts w:ascii="Calibri" w:eastAsia="바탕" w:hAnsi="Calibri" w:cs="Calibri"/>
          <w:sz w:val="22"/>
        </w:rPr>
        <w:t xml:space="preserve"> and the object.</w:t>
      </w:r>
      <w:r w:rsidRPr="00BF4F00">
        <w:rPr>
          <w:rFonts w:ascii="Calibri" w:eastAsia="바탕" w:hAnsi="Calibri" w:cs="Calibri" w:hint="eastAsia"/>
          <w:sz w:val="22"/>
        </w:rPr>
        <w:t xml:space="preserve"> </w:t>
      </w:r>
      <w:r w:rsidR="00740F76" w:rsidRPr="00BF4F00">
        <w:rPr>
          <w:rFonts w:ascii="Calibri" w:eastAsia="바탕" w:hAnsi="Calibri" w:cs="Calibri"/>
          <w:sz w:val="22"/>
        </w:rPr>
        <w:t>Specifically, measurements based on the received power of the target channel may be required. To enable this, additional information</w:t>
      </w:r>
      <w:r w:rsidRPr="00BF4F00">
        <w:rPr>
          <w:rFonts w:ascii="Calibri" w:eastAsia="바탕" w:hAnsi="Calibri" w:cs="Calibri" w:hint="eastAsia"/>
          <w:sz w:val="22"/>
        </w:rPr>
        <w:t xml:space="preserve"> such as target delay</w:t>
      </w:r>
      <w:r w:rsidR="00926851" w:rsidRPr="00BF4F00">
        <w:rPr>
          <w:rFonts w:ascii="Calibri" w:eastAsia="바탕" w:hAnsi="Calibri" w:cs="Calibri" w:hint="eastAsia"/>
          <w:sz w:val="22"/>
        </w:rPr>
        <w:t xml:space="preserve">, </w:t>
      </w:r>
      <w:r w:rsidRPr="00BF4F00">
        <w:rPr>
          <w:rFonts w:ascii="Calibri" w:eastAsia="바탕" w:hAnsi="Calibri" w:cs="Calibri" w:hint="eastAsia"/>
          <w:sz w:val="22"/>
        </w:rPr>
        <w:t>Doppler</w:t>
      </w:r>
      <w:r w:rsidR="00926851" w:rsidRPr="00BF4F00">
        <w:rPr>
          <w:rFonts w:ascii="Calibri" w:eastAsia="바탕" w:hAnsi="Calibri" w:cs="Calibri" w:hint="eastAsia"/>
          <w:sz w:val="22"/>
        </w:rPr>
        <w:t xml:space="preserve">, and/or </w:t>
      </w:r>
      <w:r w:rsidRPr="00BF4F00">
        <w:rPr>
          <w:rFonts w:ascii="Calibri" w:eastAsia="바탕" w:hAnsi="Calibri" w:cs="Calibri" w:hint="eastAsia"/>
          <w:sz w:val="22"/>
        </w:rPr>
        <w:t>angle region</w:t>
      </w:r>
      <w:r w:rsidR="00740F76" w:rsidRPr="00BF4F00">
        <w:rPr>
          <w:rFonts w:ascii="Calibri" w:eastAsia="바탕" w:hAnsi="Calibri" w:cs="Calibri"/>
          <w:sz w:val="22"/>
        </w:rPr>
        <w:t xml:space="preserve"> about the target channel may also be necessary.</w:t>
      </w:r>
      <w:r w:rsidRPr="00BF4F00">
        <w:rPr>
          <w:rFonts w:ascii="Calibri" w:eastAsia="바탕" w:hAnsi="Calibri" w:cs="Calibri" w:hint="eastAsia"/>
          <w:sz w:val="22"/>
        </w:rPr>
        <w:t xml:space="preserve"> </w:t>
      </w:r>
      <w:r w:rsidRPr="00BF4F00">
        <w:rPr>
          <w:rFonts w:ascii="Calibri" w:eastAsia="바탕" w:hAnsi="Calibri" w:cs="Calibri"/>
          <w:sz w:val="22"/>
        </w:rPr>
        <w:t>Providing </w:t>
      </w:r>
      <w:r w:rsidR="00926851" w:rsidRPr="00BF4F00">
        <w:rPr>
          <w:rFonts w:ascii="Calibri" w:eastAsia="바탕" w:hAnsi="Calibri" w:cs="Calibri" w:hint="eastAsia"/>
          <w:sz w:val="22"/>
        </w:rPr>
        <w:t xml:space="preserve">this </w:t>
      </w:r>
      <w:r w:rsidRPr="00BF4F00">
        <w:rPr>
          <w:rFonts w:ascii="Calibri" w:eastAsia="바탕" w:hAnsi="Calibri" w:cs="Calibri"/>
          <w:sz w:val="22"/>
        </w:rPr>
        <w:t>assisted information can help assess sensing signal quality</w:t>
      </w:r>
      <w:r w:rsidR="00926851" w:rsidRPr="00BF4F00">
        <w:rPr>
          <w:rFonts w:ascii="Calibri" w:eastAsia="바탕" w:hAnsi="Calibri" w:cs="Calibri" w:hint="eastAsia"/>
          <w:sz w:val="22"/>
        </w:rPr>
        <w:t xml:space="preserve">, </w:t>
      </w:r>
      <w:r w:rsidR="00926851" w:rsidRPr="00BF4F00">
        <w:rPr>
          <w:rFonts w:ascii="Calibri" w:eastAsia="바탕" w:hAnsi="Calibri" w:cs="Calibri"/>
          <w:sz w:val="22"/>
        </w:rPr>
        <w:t xml:space="preserve">for example through the power-to-interference ratio, where interference may be defined as the power spectrum </w:t>
      </w:r>
      <w:r w:rsidR="00CC1E8B" w:rsidRPr="00BF4F00">
        <w:rPr>
          <w:rFonts w:ascii="Calibri" w:eastAsia="바탕" w:hAnsi="Calibri" w:cs="Calibri" w:hint="eastAsia"/>
          <w:sz w:val="22"/>
        </w:rPr>
        <w:t>or received power from</w:t>
      </w:r>
      <w:r w:rsidR="00926851" w:rsidRPr="00BF4F00">
        <w:rPr>
          <w:rFonts w:ascii="Calibri" w:eastAsia="바탕" w:hAnsi="Calibri" w:cs="Calibri"/>
          <w:sz w:val="22"/>
        </w:rPr>
        <w:t xml:space="preserve"> non-target channels </w:t>
      </w:r>
      <w:r w:rsidR="00CC1E8B" w:rsidRPr="00BF4F00">
        <w:rPr>
          <w:rFonts w:ascii="Calibri" w:eastAsia="바탕" w:hAnsi="Calibri" w:cs="Calibri" w:hint="eastAsia"/>
          <w:sz w:val="22"/>
        </w:rPr>
        <w:t>across</w:t>
      </w:r>
      <w:r w:rsidR="00926851" w:rsidRPr="00BF4F00">
        <w:rPr>
          <w:rFonts w:ascii="Calibri" w:eastAsia="바탕" w:hAnsi="Calibri" w:cs="Calibri"/>
          <w:sz w:val="22"/>
        </w:rPr>
        <w:t xml:space="preserve"> each domain.</w:t>
      </w:r>
    </w:p>
    <w:p w14:paraId="24D187FB" w14:textId="14699296" w:rsidR="00926851" w:rsidRPr="00BF4F00" w:rsidRDefault="00E81B9E" w:rsidP="00E81B9E">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4</w:t>
      </w:r>
      <w:r w:rsidRPr="00BF4F00">
        <w:rPr>
          <w:rFonts w:ascii="Calibri" w:eastAsia="바탕" w:hAnsi="Calibri" w:cs="Calibri"/>
          <w:i/>
          <w:sz w:val="22"/>
        </w:rPr>
        <w:t xml:space="preserve">: </w:t>
      </w:r>
      <w:r w:rsidRPr="00BF4F00">
        <w:rPr>
          <w:rFonts w:ascii="Calibri" w:eastAsia="바탕" w:hAnsi="Calibri" w:cs="Calibri" w:hint="eastAsia"/>
          <w:i/>
          <w:sz w:val="22"/>
        </w:rPr>
        <w:t xml:space="preserve">Reuse </w:t>
      </w:r>
      <w:r w:rsidR="001151F9" w:rsidRPr="00BF4F00">
        <w:rPr>
          <w:rFonts w:ascii="Calibri" w:eastAsia="바탕" w:hAnsi="Calibri" w:cs="Calibri" w:hint="eastAsia"/>
          <w:i/>
          <w:sz w:val="22"/>
        </w:rPr>
        <w:t>existing p</w:t>
      </w:r>
      <w:r w:rsidRPr="00BF4F00">
        <w:rPr>
          <w:rFonts w:ascii="Calibri" w:eastAsia="바탕" w:hAnsi="Calibri" w:cs="Calibri"/>
          <w:i/>
          <w:sz w:val="22"/>
        </w:rPr>
        <w:t>ower-related measurement</w:t>
      </w:r>
      <w:r w:rsidR="00153E33" w:rsidRPr="00BF4F00">
        <w:rPr>
          <w:rFonts w:ascii="Calibri" w:eastAsia="바탕" w:hAnsi="Calibri" w:cs="Calibri" w:hint="eastAsia"/>
          <w:i/>
          <w:sz w:val="22"/>
        </w:rPr>
        <w:t xml:space="preserve"> quantities</w:t>
      </w:r>
      <w:r w:rsidR="001151F9" w:rsidRPr="00BF4F00">
        <w:rPr>
          <w:rFonts w:ascii="Calibri" w:eastAsia="바탕" w:hAnsi="Calibri" w:cs="Calibri" w:hint="eastAsia"/>
          <w:i/>
          <w:sz w:val="22"/>
        </w:rPr>
        <w:t xml:space="preserve"> </w:t>
      </w:r>
      <w:r w:rsidR="00926851" w:rsidRPr="00BF4F00">
        <w:rPr>
          <w:rFonts w:ascii="Calibri" w:eastAsia="바탕" w:hAnsi="Calibri" w:cs="Calibri"/>
          <w:i/>
          <w:sz w:val="22"/>
        </w:rPr>
        <w:t>defined in TS 38.215 for NG-RAN and UE as a baseline</w:t>
      </w:r>
      <w:r w:rsidR="001151F9" w:rsidRPr="00BF4F00">
        <w:rPr>
          <w:rFonts w:ascii="Calibri" w:eastAsia="바탕" w:hAnsi="Calibri" w:cs="Calibri" w:hint="eastAsia"/>
          <w:i/>
          <w:sz w:val="22"/>
        </w:rPr>
        <w:t xml:space="preserve">, and study </w:t>
      </w:r>
      <w:r w:rsidR="007C2E01" w:rsidRPr="00BF4F00">
        <w:rPr>
          <w:rFonts w:ascii="Calibri" w:eastAsia="바탕" w:hAnsi="Calibri" w:cs="Calibri"/>
          <w:i/>
          <w:sz w:val="22"/>
        </w:rPr>
        <w:t>necessary modifications to support accurate sensing link monitoring with a focus on detection reliability.</w:t>
      </w:r>
    </w:p>
    <w:p w14:paraId="471E962A" w14:textId="2B3BE2C8"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Especially for BS/TRP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very critical for sensing performance. Sensing function can request the level of self-interference by (pre-)configuring the required self-interference level for BS/TRP monostatic sensing. As BS/TRP may have different capability in terms of the self-interference cancellation, BS/TRP can report the self-interference level, which was measured at the Rx antenna side.</w:t>
      </w:r>
    </w:p>
    <w:p w14:paraId="7B739CCD" w14:textId="3F874081" w:rsidR="00BF4F00" w:rsidRPr="00DF3B63"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Proposal 5</w:t>
      </w:r>
      <w:r w:rsidRPr="00DF3B63">
        <w:rPr>
          <w:rFonts w:ascii="Calibri" w:eastAsia="바탕" w:hAnsi="Calibri" w:cs="Calibri"/>
          <w:i/>
          <w:sz w:val="22"/>
        </w:rPr>
        <w:t>: Study the benefit of reporting the self-interference level between Tx and Rx antenna.</w:t>
      </w:r>
    </w:p>
    <w:p w14:paraId="1D53529F" w14:textId="237F38BB"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 xml:space="preserve">Regarding the measurement reporting, it may not always be necessary to report all the sensing results </w:t>
      </w:r>
      <w:r w:rsidRPr="00DF3B63">
        <w:rPr>
          <w:rFonts w:ascii="Calibri" w:eastAsia="바탕" w:hAnsi="Calibri" w:cs="Calibri"/>
          <w:sz w:val="22"/>
        </w:rPr>
        <w:lastRenderedPageBreak/>
        <w:t>that Rx module can measure. The extent of range, speed or the direction of interest can be provided by the sensing service consumer from the beginning. Reducing the amount of the reported measurements also helps to save the unnecessary power consumption, otherwise always be reported. In this sense, the extent of the delay(range), Doppler(speed) and/or direction(angle) to be reported can be (pre-)configured by SF (sensing function). In addition to such extent for reporting, the min. value of the received sensing signal power, RCS, and Doppler frequency level can also be (pre-)configured. Only measurement values larger than the (pre-)configured min. values can be reported so as not to report a noisy component as a meaningful sensing result.</w:t>
      </w:r>
    </w:p>
    <w:p w14:paraId="209551D7" w14:textId="77777777"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Give such (pre-)configuration above, there can be additional power saving by reporting only the interested measurement of delay, Doppler, and/or angle values. There can be (pre-)configured prioritized extents of such measurements, so that BS/TRP can report the relevant measurements step-by-step according to the prioritization. In such case, BS/TRP can report e.g. the delay measurement per each interested angle extent, or the angle measurement per each interested delay extent, and so forth.</w:t>
      </w:r>
    </w:p>
    <w:p w14:paraId="1B7161CD" w14:textId="7047D78E" w:rsidR="00BF4F00" w:rsidRPr="00DF3B63"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Proposal 6</w:t>
      </w:r>
      <w:r w:rsidRPr="00DF3B63">
        <w:rPr>
          <w:rFonts w:ascii="Calibri" w:eastAsia="바탕" w:hAnsi="Calibri" w:cs="Calibri"/>
          <w:i/>
          <w:sz w:val="22"/>
        </w:rPr>
        <w:t>: Only the requested extent of the measurement values can be reported for reporting overhead reduction as well as power saving.</w:t>
      </w:r>
    </w:p>
    <w:p w14:paraId="67C1ADE4" w14:textId="77777777"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To support the mobility of the target object, the sensing BS/TRP can no longer be proper for monostatic sensing, e.g. because of the long distance from the target object. In this case, it would be better to switch the sensing BS/TRP that is closer to the target object. For this mobility support operation, BS/TRP can report the estimated RCS value of the detected/tracked target object, so that SF can determine whether or not to switch the sensing entity to other BS/TRP. In addition, the change (or the ratio) of the currently measured delay, Doppler, angle, and/or RCS values from the previously measure values can be reported for that purpose.</w:t>
      </w:r>
    </w:p>
    <w:p w14:paraId="0C38FB6B" w14:textId="09E26D97" w:rsidR="00BF4F00" w:rsidRPr="00DF3B63"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Proposal 7</w:t>
      </w:r>
      <w:r w:rsidRPr="00DF3B63">
        <w:rPr>
          <w:rFonts w:ascii="Calibri" w:eastAsia="바탕" w:hAnsi="Calibri" w:cs="Calibri"/>
          <w:i/>
          <w:sz w:val="22"/>
        </w:rPr>
        <w:t>: The change between current and past the measurement values can be reported to support mobility in sensing operation.</w:t>
      </w:r>
    </w:p>
    <w:p w14:paraId="0111E774" w14:textId="62B01C7F"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In addition to the measurement reports, BS/TRP can report to SF</w:t>
      </w:r>
      <w:r w:rsidR="00654706">
        <w:rPr>
          <w:rFonts w:ascii="Calibri" w:eastAsia="바탕" w:hAnsi="Calibri" w:cs="Calibri" w:hint="eastAsia"/>
          <w:sz w:val="22"/>
        </w:rPr>
        <w:t xml:space="preserve"> </w:t>
      </w:r>
      <w:r w:rsidRPr="00DF3B63">
        <w:rPr>
          <w:rFonts w:ascii="Calibri" w:eastAsia="바탕" w:hAnsi="Calibri" w:cs="Calibri"/>
          <w:sz w:val="22"/>
        </w:rPr>
        <w:t>the information related to the measurement. For example, BS/TRP can report the sensing signal Tx power so that the reported measurement on the received signal power can be properly interpreted by SF to identify the detected objects.</w:t>
      </w:r>
    </w:p>
    <w:p w14:paraId="26E90DBB" w14:textId="361565B2" w:rsidR="00BF4F00" w:rsidRPr="00DF3B63"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Proposal 8</w:t>
      </w:r>
      <w:r w:rsidRPr="00DF3B63">
        <w:rPr>
          <w:rFonts w:ascii="Calibri" w:eastAsia="바탕" w:hAnsi="Calibri" w:cs="Calibri"/>
          <w:i/>
          <w:sz w:val="22"/>
        </w:rPr>
        <w:t>: Reporting of the sensing signal Tx power from BS/TRP to sensing function</w:t>
      </w:r>
      <w:r w:rsidR="00654706">
        <w:rPr>
          <w:rFonts w:ascii="Calibri" w:eastAsia="바탕" w:hAnsi="Calibri" w:cs="Calibri" w:hint="eastAsia"/>
          <w:i/>
          <w:sz w:val="22"/>
        </w:rPr>
        <w:t xml:space="preserve"> </w:t>
      </w:r>
      <w:r w:rsidRPr="00DF3B63">
        <w:rPr>
          <w:rFonts w:ascii="Calibri" w:eastAsia="바탕" w:hAnsi="Calibri" w:cs="Calibri"/>
          <w:i/>
          <w:sz w:val="22"/>
        </w:rPr>
        <w:t>(SF) can be considered.</w:t>
      </w:r>
    </w:p>
    <w:p w14:paraId="55C08870" w14:textId="69BC7973" w:rsidR="00BF4F00" w:rsidRPr="00DF3B63" w:rsidRDefault="00BF4F00" w:rsidP="00BF4F00">
      <w:pPr>
        <w:wordWrap/>
        <w:adjustRightInd w:val="0"/>
        <w:snapToGrid w:val="0"/>
        <w:spacing w:before="100" w:beforeAutospacing="1" w:afterLines="50" w:after="120" w:line="264" w:lineRule="auto"/>
        <w:ind w:firstLine="425"/>
        <w:rPr>
          <w:rFonts w:ascii="Calibri" w:eastAsia="바탕" w:hAnsi="Calibri" w:cs="Calibri"/>
          <w:sz w:val="22"/>
        </w:rPr>
      </w:pPr>
      <w:r w:rsidRPr="00DF3B63">
        <w:rPr>
          <w:rFonts w:ascii="Calibri" w:eastAsia="바탕" w:hAnsi="Calibri" w:cs="Calibri"/>
          <w:sz w:val="22"/>
        </w:rPr>
        <w:t>BS/TRP can report the information about the Tx/Rx parameters that are used for the sensing operation, such as follows</w:t>
      </w:r>
      <w:r w:rsidR="00DF3B63">
        <w:rPr>
          <w:rFonts w:ascii="Calibri" w:eastAsia="바탕" w:hAnsi="Calibri" w:cs="Calibri" w:hint="eastAsia"/>
          <w:sz w:val="22"/>
        </w:rPr>
        <w:t>:</w:t>
      </w:r>
    </w:p>
    <w:p w14:paraId="563F1D4C" w14:textId="7E8C0F2F"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S</w:t>
      </w:r>
      <w:r w:rsidRPr="00DF3B63">
        <w:rPr>
          <w:rFonts w:ascii="Calibri" w:eastAsia="바탕" w:hAnsi="Calibri" w:cs="Calibri"/>
          <w:sz w:val="22"/>
        </w:rPr>
        <w:t>ensing signal bandwidth</w:t>
      </w:r>
      <w:r w:rsidR="00DF3B63">
        <w:rPr>
          <w:rFonts w:ascii="Calibri" w:eastAsia="바탕" w:hAnsi="Calibri" w:cs="Calibri" w:hint="eastAsia"/>
          <w:sz w:val="22"/>
        </w:rPr>
        <w:t>,</w:t>
      </w:r>
    </w:p>
    <w:p w14:paraId="4E53BE48" w14:textId="3AD645A8"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T</w:t>
      </w:r>
      <w:r w:rsidRPr="00DF3B63">
        <w:rPr>
          <w:rFonts w:ascii="Calibri" w:eastAsia="바탕" w:hAnsi="Calibri" w:cs="Calibri"/>
          <w:sz w:val="22"/>
        </w:rPr>
        <w:t>ype of the sensing signal waveform</w:t>
      </w:r>
      <w:r w:rsidR="00DF3B63">
        <w:rPr>
          <w:rFonts w:ascii="Calibri" w:eastAsia="바탕" w:hAnsi="Calibri" w:cs="Calibri" w:hint="eastAsia"/>
          <w:sz w:val="22"/>
        </w:rPr>
        <w:t>,</w:t>
      </w:r>
    </w:p>
    <w:p w14:paraId="7DB7A98B" w14:textId="7668E4F6"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S</w:t>
      </w:r>
      <w:r w:rsidRPr="00DF3B63">
        <w:rPr>
          <w:rFonts w:ascii="Calibri" w:eastAsia="바탕" w:hAnsi="Calibri" w:cs="Calibri"/>
          <w:sz w:val="22"/>
        </w:rPr>
        <w:t>ensing signal Tx resource (set)</w:t>
      </w:r>
      <w:r w:rsidR="00DF3B63">
        <w:rPr>
          <w:rFonts w:ascii="Calibri" w:eastAsia="바탕" w:hAnsi="Calibri" w:cs="Calibri" w:hint="eastAsia"/>
          <w:sz w:val="22"/>
        </w:rPr>
        <w:t>,</w:t>
      </w:r>
    </w:p>
    <w:p w14:paraId="09F02E17" w14:textId="6E432C3E"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T</w:t>
      </w:r>
      <w:r w:rsidRPr="00DF3B63">
        <w:rPr>
          <w:rFonts w:ascii="Calibri" w:eastAsia="바탕" w:hAnsi="Calibri" w:cs="Calibri"/>
          <w:sz w:val="22"/>
        </w:rPr>
        <w:t>ime duration of the sensing signal</w:t>
      </w:r>
      <w:r w:rsidR="00DF3B63">
        <w:rPr>
          <w:rFonts w:ascii="Calibri" w:eastAsia="바탕" w:hAnsi="Calibri" w:cs="Calibri" w:hint="eastAsia"/>
          <w:sz w:val="22"/>
        </w:rPr>
        <w:t>,</w:t>
      </w:r>
    </w:p>
    <w:p w14:paraId="5E24CDBE" w14:textId="526F95D0"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T</w:t>
      </w:r>
      <w:r w:rsidRPr="00DF3B63">
        <w:rPr>
          <w:rFonts w:ascii="Calibri" w:eastAsia="바탕" w:hAnsi="Calibri" w:cs="Calibri"/>
          <w:sz w:val="22"/>
        </w:rPr>
        <w:t>ime stamp associated with the reported measurement</w:t>
      </w:r>
      <w:r w:rsidR="00DF3B63">
        <w:rPr>
          <w:rFonts w:ascii="Calibri" w:eastAsia="바탕" w:hAnsi="Calibri" w:cs="Calibri" w:hint="eastAsia"/>
          <w:sz w:val="22"/>
        </w:rPr>
        <w:t>,</w:t>
      </w:r>
    </w:p>
    <w:p w14:paraId="44F5E45D" w14:textId="2CE9146B"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N</w:t>
      </w:r>
      <w:r w:rsidRPr="00DF3B63">
        <w:rPr>
          <w:rFonts w:ascii="Calibri" w:eastAsia="바탕" w:hAnsi="Calibri" w:cs="Calibri"/>
          <w:sz w:val="22"/>
        </w:rPr>
        <w:t>umber of repetitions of the sensing signal</w:t>
      </w:r>
      <w:r w:rsidR="00DF3B63">
        <w:rPr>
          <w:rFonts w:ascii="Calibri" w:eastAsia="바탕" w:hAnsi="Calibri" w:cs="Calibri" w:hint="eastAsia"/>
          <w:sz w:val="22"/>
        </w:rPr>
        <w:t>,</w:t>
      </w:r>
    </w:p>
    <w:p w14:paraId="2846A4AB" w14:textId="4601249F"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lastRenderedPageBreak/>
        <w:t>I</w:t>
      </w:r>
      <w:r w:rsidRPr="00DF3B63">
        <w:rPr>
          <w:rFonts w:ascii="Calibri" w:eastAsia="바탕" w:hAnsi="Calibri" w:cs="Calibri"/>
          <w:sz w:val="22"/>
        </w:rPr>
        <w:t>nterval between the sensing signals (or periodicity)</w:t>
      </w:r>
      <w:r w:rsidR="00DF3B63">
        <w:rPr>
          <w:rFonts w:ascii="Calibri" w:eastAsia="바탕" w:hAnsi="Calibri" w:cs="Calibri" w:hint="eastAsia"/>
          <w:sz w:val="22"/>
        </w:rPr>
        <w:t>,</w:t>
      </w:r>
    </w:p>
    <w:p w14:paraId="392808A4" w14:textId="74D3E1BC"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P</w:t>
      </w:r>
      <w:r w:rsidRPr="00DF3B63">
        <w:rPr>
          <w:rFonts w:ascii="Calibri" w:eastAsia="바탕" w:hAnsi="Calibri" w:cs="Calibri"/>
          <w:sz w:val="22"/>
        </w:rPr>
        <w:t>olarization of the sensing signal</w:t>
      </w:r>
      <w:r w:rsidR="00DF3B63">
        <w:rPr>
          <w:rFonts w:ascii="Calibri" w:eastAsia="바탕" w:hAnsi="Calibri" w:cs="Calibri" w:hint="eastAsia"/>
          <w:sz w:val="22"/>
        </w:rPr>
        <w:t>,</w:t>
      </w:r>
    </w:p>
    <w:p w14:paraId="4FE05138" w14:textId="2C57F006"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A</w:t>
      </w:r>
      <w:r w:rsidRPr="00DF3B63">
        <w:rPr>
          <w:rFonts w:ascii="Calibri" w:eastAsia="바탕" w:hAnsi="Calibri" w:cs="Calibri"/>
          <w:sz w:val="22"/>
        </w:rPr>
        <w:t>ntenna configuration used for sensing signal Tx/Rx</w:t>
      </w:r>
      <w:r w:rsidR="00DF3B63">
        <w:rPr>
          <w:rFonts w:ascii="Calibri" w:eastAsia="바탕" w:hAnsi="Calibri" w:cs="Calibri" w:hint="eastAsia"/>
          <w:sz w:val="22"/>
        </w:rPr>
        <w:t>,</w:t>
      </w:r>
    </w:p>
    <w:p w14:paraId="6B98C2C8" w14:textId="271E574F"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DF3B63">
        <w:rPr>
          <w:rFonts w:ascii="Calibri" w:eastAsia="바탕" w:hAnsi="Calibri" w:cs="Calibri"/>
          <w:sz w:val="22"/>
        </w:rPr>
        <w:t>BS/TRP ID (e.g. cell ID), the location of BS/TRP</w:t>
      </w:r>
      <w:r w:rsidR="00DF3B63">
        <w:rPr>
          <w:rFonts w:ascii="Calibri" w:eastAsia="바탕" w:hAnsi="Calibri" w:cs="Calibri" w:hint="eastAsia"/>
          <w:sz w:val="22"/>
        </w:rPr>
        <w:t>,</w:t>
      </w:r>
    </w:p>
    <w:p w14:paraId="5E757302" w14:textId="3AC333DF"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BF4F00">
        <w:rPr>
          <w:rFonts w:ascii="Calibri" w:eastAsia="바탕" w:hAnsi="Calibri" w:cs="Calibri" w:hint="eastAsia"/>
          <w:sz w:val="22"/>
        </w:rPr>
        <w:t>W</w:t>
      </w:r>
      <w:r w:rsidRPr="00DF3B63">
        <w:rPr>
          <w:rFonts w:ascii="Calibri" w:eastAsia="바탕" w:hAnsi="Calibri" w:cs="Calibri"/>
          <w:sz w:val="22"/>
        </w:rPr>
        <w:t>hether the detected entity is 3GPP entity or not</w:t>
      </w:r>
      <w:r w:rsidR="00DF3B63">
        <w:rPr>
          <w:rFonts w:ascii="Calibri" w:eastAsia="바탕" w:hAnsi="Calibri" w:cs="Calibri" w:hint="eastAsia"/>
          <w:sz w:val="22"/>
        </w:rPr>
        <w:t>,</w:t>
      </w:r>
    </w:p>
    <w:p w14:paraId="5AC9F369" w14:textId="7647013B" w:rsidR="00BF4F00" w:rsidRPr="00DF3B63" w:rsidRDefault="00BF4F00" w:rsidP="00DF3B63">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DF3B63">
        <w:rPr>
          <w:rFonts w:ascii="Calibri" w:eastAsia="바탕" w:hAnsi="Calibri" w:cs="Calibri"/>
          <w:sz w:val="22"/>
        </w:rPr>
        <w:t>Tx/Rx beamwidth used for sensing signal Tx/Rx</w:t>
      </w:r>
      <w:r w:rsidR="00DF3B63">
        <w:rPr>
          <w:rFonts w:ascii="Calibri" w:eastAsia="바탕" w:hAnsi="Calibri" w:cs="Calibri" w:hint="eastAsia"/>
          <w:sz w:val="22"/>
        </w:rPr>
        <w:t>.</w:t>
      </w:r>
    </w:p>
    <w:p w14:paraId="0BA7D3A3" w14:textId="651A9806" w:rsidR="00BF4F00" w:rsidRPr="00BF4F00" w:rsidRDefault="00BF4F00" w:rsidP="00E81B9E">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Proposal 9</w:t>
      </w:r>
      <w:r w:rsidRPr="00DF3B63">
        <w:rPr>
          <w:rFonts w:ascii="Calibri" w:eastAsia="바탕" w:hAnsi="Calibri" w:cs="Calibri"/>
          <w:i/>
          <w:sz w:val="22"/>
        </w:rPr>
        <w:t>: Study what information related to the measurement needs to be additionally reported.</w:t>
      </w:r>
    </w:p>
    <w:p w14:paraId="7F892583" w14:textId="0D90690E" w:rsidR="00CC16CD" w:rsidRPr="00BF4F00" w:rsidRDefault="0003370A" w:rsidP="0003370A">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BF4F00">
        <w:rPr>
          <w:rFonts w:ascii="Arial" w:eastAsia="바탕" w:hAnsi="Arial" w:cs="Arial"/>
          <w:kern w:val="0"/>
          <w:sz w:val="28"/>
          <w:szCs w:val="28"/>
        </w:rPr>
        <w:t>DL NR waveform and DL NR reference signals</w:t>
      </w:r>
    </w:p>
    <w:p w14:paraId="773307DA" w14:textId="245D192A" w:rsidR="007C2E01" w:rsidRPr="00BF4F00" w:rsidRDefault="007C2E01" w:rsidP="0045560B">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To ensure compatibility with 5G systems, existing NR waveforms (e.g., OFDM) and signals (e.g., </w:t>
      </w:r>
      <w:r w:rsidR="00635856" w:rsidRPr="00BF4F00">
        <w:rPr>
          <w:rFonts w:ascii="Calibri" w:eastAsia="바탕" w:hAnsi="Calibri" w:cs="Calibri" w:hint="eastAsia"/>
          <w:sz w:val="22"/>
        </w:rPr>
        <w:t>DL-</w:t>
      </w:r>
      <w:r w:rsidRPr="00BF4F00">
        <w:rPr>
          <w:rFonts w:ascii="Calibri" w:eastAsia="바탕" w:hAnsi="Calibri" w:cs="Calibri"/>
          <w:sz w:val="22"/>
        </w:rPr>
        <w:t xml:space="preserve">PRS, </w:t>
      </w:r>
      <w:r w:rsidR="00635856" w:rsidRPr="00BF4F00">
        <w:rPr>
          <w:rFonts w:ascii="Calibri" w:eastAsia="바탕" w:hAnsi="Calibri" w:cs="Calibri" w:hint="eastAsia"/>
          <w:sz w:val="22"/>
        </w:rPr>
        <w:t>DL-</w:t>
      </w:r>
      <w:r w:rsidRPr="00BF4F00">
        <w:rPr>
          <w:rFonts w:ascii="Calibri" w:eastAsia="바탕" w:hAnsi="Calibri" w:cs="Calibri"/>
          <w:sz w:val="22"/>
        </w:rPr>
        <w:t xml:space="preserve">CSI-RS) should be reused for 5G-A ISAC performance evaluation. Given time and resource constraints, introducing new waveforms or signals is discouraged for </w:t>
      </w:r>
      <w:r w:rsidRPr="00BF4F00">
        <w:rPr>
          <w:rFonts w:ascii="Calibri" w:eastAsia="바탕" w:hAnsi="Calibri" w:cs="Calibri" w:hint="eastAsia"/>
          <w:sz w:val="22"/>
        </w:rPr>
        <w:t xml:space="preserve">evaluation </w:t>
      </w:r>
      <w:r w:rsidRPr="00BF4F00">
        <w:rPr>
          <w:rFonts w:ascii="Calibri" w:eastAsia="바탕" w:hAnsi="Calibri" w:cs="Calibri"/>
          <w:sz w:val="22"/>
        </w:rPr>
        <w:t>efficiency.</w:t>
      </w:r>
    </w:p>
    <w:p w14:paraId="543B5AFC" w14:textId="229B21BF" w:rsidR="0003370A" w:rsidRPr="00BF4F00" w:rsidRDefault="0003370A" w:rsidP="0003370A">
      <w:pPr>
        <w:wordWrap/>
        <w:adjustRightInd w:val="0"/>
        <w:snapToGrid w:val="0"/>
        <w:spacing w:before="100" w:beforeAutospacing="1" w:after="100" w:afterAutospacing="1" w:line="264" w:lineRule="auto"/>
        <w:rPr>
          <w:rFonts w:ascii="Calibri" w:eastAsia="바탕" w:hAnsi="Calibri" w:cs="Calibri"/>
          <w:b/>
          <w:i/>
          <w:sz w:val="22"/>
        </w:rPr>
      </w:pPr>
      <w:r w:rsidRPr="00BF4F00">
        <w:rPr>
          <w:rFonts w:ascii="Calibri" w:eastAsia="바탕" w:hAnsi="Calibri" w:cs="Calibri"/>
          <w:b/>
          <w:i/>
          <w:sz w:val="22"/>
        </w:rPr>
        <w:t xml:space="preserve">Proposal </w:t>
      </w:r>
      <w:r w:rsidR="00543C93">
        <w:rPr>
          <w:rFonts w:ascii="Calibri" w:eastAsia="바탕" w:hAnsi="Calibri" w:cs="Calibri" w:hint="eastAsia"/>
          <w:b/>
          <w:i/>
          <w:sz w:val="22"/>
        </w:rPr>
        <w:t>10</w:t>
      </w:r>
      <w:r w:rsidRPr="00BF4F00">
        <w:rPr>
          <w:rFonts w:ascii="Calibri" w:eastAsia="바탕" w:hAnsi="Calibri" w:cs="Calibri" w:hint="eastAsia"/>
          <w:b/>
          <w:i/>
          <w:sz w:val="22"/>
        </w:rPr>
        <w:t>:</w:t>
      </w:r>
      <w:r w:rsidR="008844BD" w:rsidRPr="00BF4F00">
        <w:rPr>
          <w:rFonts w:ascii="Calibri" w:eastAsia="바탕" w:hAnsi="Calibri" w:cs="Calibri"/>
          <w:i/>
          <w:sz w:val="22"/>
        </w:rPr>
        <w:t xml:space="preserve"> </w:t>
      </w:r>
      <w:r w:rsidR="00FE2BF4" w:rsidRPr="00BF4F00">
        <w:rPr>
          <w:rFonts w:ascii="Calibri" w:eastAsia="바탕" w:hAnsi="Calibri" w:cs="Calibri"/>
          <w:i/>
          <w:sz w:val="22"/>
        </w:rPr>
        <w:t>To ensure compatibility and evaluation efficiency</w:t>
      </w:r>
      <w:r w:rsidR="00FE2BF4" w:rsidRPr="00BF4F00">
        <w:rPr>
          <w:rFonts w:ascii="Calibri" w:eastAsia="바탕" w:hAnsi="Calibri" w:cs="Calibri" w:hint="eastAsia"/>
          <w:i/>
          <w:sz w:val="22"/>
        </w:rPr>
        <w:t>, e</w:t>
      </w:r>
      <w:r w:rsidR="007C2E01" w:rsidRPr="00BF4F00">
        <w:rPr>
          <w:rFonts w:ascii="Calibri" w:eastAsia="바탕" w:hAnsi="Calibri" w:cs="Calibri"/>
          <w:i/>
          <w:sz w:val="22"/>
        </w:rPr>
        <w:t xml:space="preserve">xisting </w:t>
      </w:r>
      <w:r w:rsidR="00DD59C7" w:rsidRPr="00BF4F00">
        <w:rPr>
          <w:rFonts w:ascii="Calibri" w:eastAsia="바탕" w:hAnsi="Calibri" w:cs="Calibri" w:hint="eastAsia"/>
          <w:i/>
          <w:sz w:val="22"/>
        </w:rPr>
        <w:t xml:space="preserve">DL </w:t>
      </w:r>
      <w:r w:rsidR="007C2E01" w:rsidRPr="00BF4F00">
        <w:rPr>
          <w:rFonts w:ascii="Calibri" w:eastAsia="바탕" w:hAnsi="Calibri" w:cs="Calibri"/>
          <w:i/>
          <w:sz w:val="22"/>
        </w:rPr>
        <w:t>NR waveforms and signals should be reused without introducing new ones, at least for 5G-A ISAC evaluation.</w:t>
      </w:r>
    </w:p>
    <w:p w14:paraId="7E6391C5" w14:textId="3D9B3400" w:rsidR="00D66F69" w:rsidRPr="00BF4F00" w:rsidRDefault="0003370A" w:rsidP="0003370A">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BF4F00">
        <w:rPr>
          <w:rFonts w:ascii="Arial" w:eastAsia="바탕" w:hAnsi="Arial" w:cs="Arial"/>
          <w:kern w:val="0"/>
          <w:sz w:val="28"/>
          <w:szCs w:val="28"/>
        </w:rPr>
        <w:t>Deployment scenario and assumptions for channel model</w:t>
      </w:r>
    </w:p>
    <w:p w14:paraId="39942599" w14:textId="77777777" w:rsidR="006D6FF4" w:rsidRDefault="00FE2BF4" w:rsidP="006D6FF4">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Given the diversity of ISAC deployment environments and targets, exhaustive scenario evaluation is impractical. For </w:t>
      </w:r>
      <w:proofErr w:type="spellStart"/>
      <w:r w:rsidRPr="00BF4F00">
        <w:rPr>
          <w:rFonts w:ascii="Calibri" w:eastAsia="바탕" w:hAnsi="Calibri" w:cs="Calibri"/>
          <w:sz w:val="22"/>
        </w:rPr>
        <w:t>gNB</w:t>
      </w:r>
      <w:proofErr w:type="spellEnd"/>
      <w:r w:rsidRPr="00BF4F00">
        <w:rPr>
          <w:rFonts w:ascii="Calibri" w:eastAsia="바탕" w:hAnsi="Calibri" w:cs="Calibri"/>
          <w:sz w:val="22"/>
        </w:rPr>
        <w:t>-based mono-static sensing, focusing on representative scenarios like UAV detection and tracking helps streamline standardization efforts.</w:t>
      </w:r>
      <w:r w:rsidR="001F6D28" w:rsidRPr="00BF4F00">
        <w:rPr>
          <w:rFonts w:ascii="Calibri" w:eastAsia="바탕" w:hAnsi="Calibri" w:cs="Calibri" w:hint="eastAsia"/>
          <w:sz w:val="22"/>
        </w:rPr>
        <w:t xml:space="preserve"> </w:t>
      </w:r>
      <w:r w:rsidR="007617E6" w:rsidRPr="00BF4F00">
        <w:rPr>
          <w:rFonts w:ascii="Calibri" w:eastAsia="바탕" w:hAnsi="Calibri" w:cs="Calibri"/>
          <w:sz w:val="22"/>
        </w:rPr>
        <w:t>To ensure practicality and feasibility, evaluation parameters may need to be updated or added beyond those assumed for channel model calibration in Rel-19. While we are open to discussing suitable values, we prefer to minimize changes to reduce simulation complexity and maintain evaluation simplicity. Therefore, we suggest selecting a single option per parameter and limiting the introduction of new parameters not defined in Rel-19.</w:t>
      </w:r>
      <w:r w:rsidR="00E77275" w:rsidRPr="00BF4F00">
        <w:rPr>
          <w:rFonts w:ascii="Calibri" w:eastAsia="바탕" w:hAnsi="Calibri" w:cs="Calibri" w:hint="eastAsia"/>
          <w:sz w:val="22"/>
        </w:rPr>
        <w:t xml:space="preserve"> </w:t>
      </w:r>
      <w:r w:rsidR="006D6FF4" w:rsidRPr="00BF4F00">
        <w:rPr>
          <w:rFonts w:ascii="Calibri" w:eastAsia="바탕" w:hAnsi="Calibri" w:cs="Calibri" w:hint="eastAsia"/>
          <w:sz w:val="22"/>
        </w:rPr>
        <w:t>The table below, based on the current simulation assumption specified in TR 38.901, can be used as a starting point for further discussion.</w:t>
      </w:r>
    </w:p>
    <w:p w14:paraId="3104E011" w14:textId="2314B4A2" w:rsidR="00DF3B63" w:rsidRPr="00DF3B63" w:rsidRDefault="00543C93" w:rsidP="00DF3B63">
      <w:pPr>
        <w:pStyle w:val="TH"/>
        <w:rPr>
          <w:rFonts w:eastAsiaTheme="minorEastAsia"/>
          <w:lang w:eastAsia="ko-KR"/>
        </w:rPr>
      </w:pPr>
      <w:r w:rsidRPr="00BF4F00">
        <w:rPr>
          <w:rFonts w:eastAsiaTheme="minorEastAsia"/>
        </w:rPr>
        <w:t xml:space="preserve">Table </w:t>
      </w:r>
      <w:r w:rsidRPr="00BF4F00">
        <w:rPr>
          <w:rFonts w:eastAsiaTheme="minorEastAsia"/>
        </w:rPr>
        <w:fldChar w:fldCharType="begin"/>
      </w:r>
      <w:r w:rsidRPr="00BF4F00">
        <w:rPr>
          <w:rFonts w:eastAsiaTheme="minorEastAsia"/>
        </w:rPr>
        <w:instrText xml:space="preserve"> SEQ Table \* ARABIC </w:instrText>
      </w:r>
      <w:r w:rsidRPr="00BF4F00">
        <w:rPr>
          <w:rFonts w:eastAsiaTheme="minorEastAsia"/>
        </w:rPr>
        <w:fldChar w:fldCharType="separate"/>
      </w:r>
      <w:r w:rsidRPr="00BF4F00">
        <w:rPr>
          <w:rFonts w:eastAsiaTheme="minorEastAsia"/>
        </w:rPr>
        <w:t>1</w:t>
      </w:r>
      <w:r w:rsidRPr="00BF4F00">
        <w:rPr>
          <w:rFonts w:eastAsiaTheme="minorEastAsia"/>
        </w:rPr>
        <w:fldChar w:fldCharType="end"/>
      </w:r>
      <w:r w:rsidRPr="00BF4F00">
        <w:rPr>
          <w:rFonts w:eastAsiaTheme="minorEastAsia" w:hint="eastAsia"/>
          <w:lang w:eastAsia="ko-KR"/>
        </w:rPr>
        <w:t>: Simulation assumption for 5G-A ISAC evaluation</w:t>
      </w:r>
    </w:p>
    <w:tbl>
      <w:tblPr>
        <w:tblpPr w:leftFromText="142" w:rightFromText="142" w:bottomFromText="227" w:vertAnchor="text" w:tblpY="1"/>
        <w:tblOverlap w:val="never"/>
        <w:tblW w:w="0" w:type="auto"/>
        <w:tblLayout w:type="fixed"/>
        <w:tblLook w:val="04A0" w:firstRow="1" w:lastRow="0" w:firstColumn="1" w:lastColumn="0" w:noHBand="0" w:noVBand="1"/>
      </w:tblPr>
      <w:tblGrid>
        <w:gridCol w:w="2629"/>
        <w:gridCol w:w="6733"/>
      </w:tblGrid>
      <w:tr w:rsidR="00DF3B63" w:rsidRPr="00BF4F00" w14:paraId="4A2BC8F1" w14:textId="77777777" w:rsidTr="00AB3646">
        <w:trPr>
          <w:trHeight w:val="227"/>
        </w:trPr>
        <w:tc>
          <w:tcPr>
            <w:tcW w:w="262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53FE4F" w14:textId="77777777" w:rsidR="00DF3B63" w:rsidRPr="00BF4F00" w:rsidRDefault="00DF3B63" w:rsidP="00AB3646">
            <w:pPr>
              <w:keepNext/>
              <w:keepLines/>
              <w:spacing w:after="0"/>
              <w:jc w:val="center"/>
              <w:rPr>
                <w:rFonts w:ascii="Arial" w:hAnsi="Arial"/>
                <w:b/>
                <w:sz w:val="18"/>
              </w:rPr>
            </w:pPr>
            <w:r w:rsidRPr="00BF4F00">
              <w:rPr>
                <w:rFonts w:ascii="Arial" w:hAnsi="Arial"/>
                <w:b/>
                <w:sz w:val="18"/>
              </w:rPr>
              <w:t>Parameters</w:t>
            </w:r>
          </w:p>
        </w:tc>
        <w:tc>
          <w:tcPr>
            <w:tcW w:w="6733" w:type="dxa"/>
            <w:tcBorders>
              <w:top w:val="single" w:sz="4" w:space="0" w:color="auto"/>
              <w:left w:val="single" w:sz="4" w:space="0" w:color="auto"/>
              <w:bottom w:val="single" w:sz="4" w:space="0" w:color="auto"/>
              <w:right w:val="single" w:sz="4" w:space="0" w:color="auto"/>
            </w:tcBorders>
            <w:shd w:val="clear" w:color="auto" w:fill="E7E6E6" w:themeFill="background2"/>
          </w:tcPr>
          <w:p w14:paraId="024FCB02" w14:textId="77777777" w:rsidR="00DF3B63" w:rsidRPr="00BF4F00" w:rsidRDefault="00DF3B63" w:rsidP="00AB3646">
            <w:pPr>
              <w:keepNext/>
              <w:keepLines/>
              <w:spacing w:after="0"/>
              <w:jc w:val="center"/>
              <w:rPr>
                <w:rFonts w:ascii="Arial" w:hAnsi="Arial"/>
                <w:b/>
                <w:sz w:val="18"/>
              </w:rPr>
            </w:pPr>
            <w:r w:rsidRPr="00BF4F00">
              <w:rPr>
                <w:rFonts w:ascii="Arial" w:hAnsi="Arial"/>
                <w:b/>
                <w:sz w:val="18"/>
              </w:rPr>
              <w:t>Values</w:t>
            </w:r>
          </w:p>
        </w:tc>
      </w:tr>
      <w:tr w:rsidR="00DF3B63" w:rsidRPr="00BF4F00" w14:paraId="2E77CA46"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0CC8AEC2" w14:textId="77777777" w:rsidR="00DF3B63" w:rsidRPr="00BF4F00" w:rsidRDefault="00DF3B63" w:rsidP="00AB3646">
            <w:pPr>
              <w:keepNext/>
              <w:keepLines/>
              <w:spacing w:after="0"/>
              <w:rPr>
                <w:rFonts w:ascii="Arial" w:hAnsi="Arial"/>
                <w:sz w:val="18"/>
              </w:rPr>
            </w:pPr>
            <w:r w:rsidRPr="00BF4F00">
              <w:rPr>
                <w:rFonts w:ascii="Arial" w:hAnsi="Arial"/>
                <w:sz w:val="18"/>
              </w:rPr>
              <w:t>Scenario</w:t>
            </w:r>
          </w:p>
        </w:tc>
        <w:tc>
          <w:tcPr>
            <w:tcW w:w="6733" w:type="dxa"/>
            <w:tcBorders>
              <w:top w:val="single" w:sz="4" w:space="0" w:color="auto"/>
              <w:left w:val="single" w:sz="4" w:space="0" w:color="auto"/>
              <w:bottom w:val="single" w:sz="4" w:space="0" w:color="auto"/>
              <w:right w:val="single" w:sz="4" w:space="0" w:color="auto"/>
            </w:tcBorders>
          </w:tcPr>
          <w:p w14:paraId="09E4ED7F" w14:textId="77777777" w:rsidR="00DF3B63" w:rsidRPr="00BF4F00" w:rsidRDefault="00DF3B63" w:rsidP="00AB3646">
            <w:pPr>
              <w:keepNext/>
              <w:keepLines/>
              <w:spacing w:after="0"/>
              <w:rPr>
                <w:rFonts w:ascii="Arial" w:hAnsi="Arial"/>
                <w:sz w:val="18"/>
              </w:rPr>
            </w:pPr>
            <w:proofErr w:type="spellStart"/>
            <w:r w:rsidRPr="00BF4F00">
              <w:rPr>
                <w:rFonts w:ascii="Arial" w:hAnsi="Arial"/>
                <w:sz w:val="18"/>
              </w:rPr>
              <w:t>UMa</w:t>
            </w:r>
            <w:proofErr w:type="spellEnd"/>
            <w:r w:rsidRPr="00BF4F00">
              <w:rPr>
                <w:rFonts w:ascii="Arial" w:hAnsi="Arial"/>
                <w:sz w:val="18"/>
              </w:rPr>
              <w:t>-AV</w:t>
            </w:r>
          </w:p>
        </w:tc>
      </w:tr>
      <w:tr w:rsidR="00DF3B63" w:rsidRPr="00BF4F00" w14:paraId="2EE2CEB0"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4497AE8E" w14:textId="77777777" w:rsidR="00DF3B63" w:rsidRPr="00BF4F00" w:rsidRDefault="00DF3B63" w:rsidP="00AB3646">
            <w:pPr>
              <w:keepNext/>
              <w:keepLines/>
              <w:spacing w:after="0"/>
              <w:rPr>
                <w:rFonts w:ascii="Arial" w:hAnsi="Arial"/>
                <w:sz w:val="18"/>
              </w:rPr>
            </w:pPr>
            <w:r w:rsidRPr="00BF4F00">
              <w:rPr>
                <w:rFonts w:ascii="Arial" w:hAnsi="Arial"/>
                <w:sz w:val="18"/>
              </w:rPr>
              <w:t>Sensing mode</w:t>
            </w:r>
          </w:p>
        </w:tc>
        <w:tc>
          <w:tcPr>
            <w:tcW w:w="6733" w:type="dxa"/>
            <w:tcBorders>
              <w:top w:val="single" w:sz="4" w:space="0" w:color="auto"/>
              <w:left w:val="single" w:sz="4" w:space="0" w:color="auto"/>
              <w:bottom w:val="single" w:sz="4" w:space="0" w:color="auto"/>
              <w:right w:val="single" w:sz="4" w:space="0" w:color="auto"/>
            </w:tcBorders>
          </w:tcPr>
          <w:p w14:paraId="0A10503C" w14:textId="77777777" w:rsidR="00DF3B63" w:rsidRPr="00BF4F00" w:rsidRDefault="00DF3B63" w:rsidP="00AB3646">
            <w:pPr>
              <w:keepNext/>
              <w:keepLines/>
              <w:spacing w:after="0"/>
              <w:rPr>
                <w:rFonts w:ascii="Arial" w:hAnsi="Arial"/>
                <w:sz w:val="18"/>
              </w:rPr>
            </w:pPr>
            <w:r w:rsidRPr="00BF4F00">
              <w:rPr>
                <w:rFonts w:ascii="Arial" w:hAnsi="Arial"/>
                <w:sz w:val="18"/>
              </w:rPr>
              <w:t>TRP monostatic</w:t>
            </w:r>
          </w:p>
        </w:tc>
      </w:tr>
      <w:tr w:rsidR="00DF3B63" w:rsidRPr="00BF4F00" w14:paraId="4AA7C643"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4E1FF4F4" w14:textId="77777777" w:rsidR="00DF3B63" w:rsidRPr="00BF4F00" w:rsidRDefault="00DF3B63" w:rsidP="00AB3646">
            <w:pPr>
              <w:keepNext/>
              <w:keepLines/>
              <w:spacing w:after="0"/>
              <w:rPr>
                <w:rFonts w:ascii="Arial" w:hAnsi="Arial"/>
                <w:sz w:val="18"/>
              </w:rPr>
            </w:pPr>
            <w:r w:rsidRPr="00BF4F00">
              <w:rPr>
                <w:rFonts w:ascii="Arial" w:hAnsi="Arial"/>
                <w:sz w:val="18"/>
              </w:rPr>
              <w:t>Target type</w:t>
            </w:r>
          </w:p>
        </w:tc>
        <w:tc>
          <w:tcPr>
            <w:tcW w:w="6733" w:type="dxa"/>
            <w:tcBorders>
              <w:top w:val="single" w:sz="4" w:space="0" w:color="auto"/>
              <w:left w:val="single" w:sz="4" w:space="0" w:color="auto"/>
              <w:bottom w:val="single" w:sz="4" w:space="0" w:color="auto"/>
              <w:right w:val="single" w:sz="4" w:space="0" w:color="auto"/>
            </w:tcBorders>
          </w:tcPr>
          <w:p w14:paraId="3B050544" w14:textId="77777777" w:rsidR="00DF3B63" w:rsidRPr="00BF4F00" w:rsidRDefault="00DF3B63" w:rsidP="00AB3646">
            <w:pPr>
              <w:keepNext/>
              <w:keepLines/>
              <w:spacing w:after="0"/>
              <w:rPr>
                <w:rFonts w:ascii="Arial" w:hAnsi="Arial"/>
                <w:sz w:val="18"/>
              </w:rPr>
            </w:pPr>
            <w:r w:rsidRPr="00BF4F00">
              <w:rPr>
                <w:rFonts w:ascii="Arial" w:hAnsi="Arial"/>
                <w:sz w:val="18"/>
              </w:rPr>
              <w:t>UAV of small size (0.3m x 0.4m x 0.2m)</w:t>
            </w:r>
          </w:p>
        </w:tc>
      </w:tr>
      <w:tr w:rsidR="00DF3B63" w:rsidRPr="00BF4F00" w14:paraId="3DE123BB"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216DD9E6" w14:textId="77777777" w:rsidR="00DF3B63" w:rsidRPr="00BF4F00" w:rsidRDefault="00DF3B63" w:rsidP="00AB3646">
            <w:pPr>
              <w:keepNext/>
              <w:keepLines/>
              <w:spacing w:after="0"/>
              <w:rPr>
                <w:rFonts w:ascii="Arial" w:hAnsi="Arial"/>
                <w:sz w:val="18"/>
              </w:rPr>
            </w:pPr>
            <w:r w:rsidRPr="00BF4F00">
              <w:rPr>
                <w:rFonts w:ascii="Arial" w:hAnsi="Arial"/>
                <w:sz w:val="18"/>
              </w:rPr>
              <w:t>Sectorization</w:t>
            </w:r>
          </w:p>
        </w:tc>
        <w:tc>
          <w:tcPr>
            <w:tcW w:w="6733" w:type="dxa"/>
            <w:tcBorders>
              <w:top w:val="single" w:sz="4" w:space="0" w:color="auto"/>
              <w:left w:val="single" w:sz="4" w:space="0" w:color="auto"/>
              <w:bottom w:val="single" w:sz="4" w:space="0" w:color="auto"/>
              <w:right w:val="single" w:sz="4" w:space="0" w:color="auto"/>
            </w:tcBorders>
          </w:tcPr>
          <w:p w14:paraId="0E4D1311" w14:textId="77777777" w:rsidR="00DF3B63" w:rsidRPr="00BF4F00" w:rsidRDefault="00DF3B63" w:rsidP="00AB3646">
            <w:pPr>
              <w:keepNext/>
              <w:keepLines/>
              <w:spacing w:after="0"/>
              <w:rPr>
                <w:rFonts w:ascii="Arial" w:hAnsi="Arial"/>
                <w:sz w:val="18"/>
              </w:rPr>
            </w:pPr>
            <w:r w:rsidRPr="00BF4F00">
              <w:rPr>
                <w:rFonts w:ascii="Arial" w:hAnsi="Arial"/>
                <w:sz w:val="18"/>
              </w:rPr>
              <w:t>3 sectors with 0, 120, 240 degrees.</w:t>
            </w:r>
          </w:p>
        </w:tc>
      </w:tr>
      <w:tr w:rsidR="00DF3B63" w:rsidRPr="00BF4F00" w14:paraId="09914A44"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01248B63" w14:textId="77777777" w:rsidR="00DF3B63" w:rsidRPr="00BF4F00" w:rsidRDefault="00DF3B63" w:rsidP="00AB3646">
            <w:pPr>
              <w:keepNext/>
              <w:keepLines/>
              <w:spacing w:after="0"/>
              <w:rPr>
                <w:rFonts w:ascii="Arial" w:hAnsi="Arial"/>
                <w:sz w:val="18"/>
              </w:rPr>
            </w:pPr>
            <w:r w:rsidRPr="00BF4F00">
              <w:rPr>
                <w:rFonts w:ascii="Arial" w:hAnsi="Arial"/>
                <w:sz w:val="18"/>
              </w:rPr>
              <w:t>Carrier Frequency</w:t>
            </w:r>
          </w:p>
        </w:tc>
        <w:tc>
          <w:tcPr>
            <w:tcW w:w="6733" w:type="dxa"/>
            <w:tcBorders>
              <w:top w:val="single" w:sz="4" w:space="0" w:color="auto"/>
              <w:left w:val="single" w:sz="4" w:space="0" w:color="auto"/>
              <w:bottom w:val="single" w:sz="4" w:space="0" w:color="auto"/>
              <w:right w:val="single" w:sz="4" w:space="0" w:color="auto"/>
            </w:tcBorders>
          </w:tcPr>
          <w:p w14:paraId="72040F42" w14:textId="77777777" w:rsidR="00DF3B63" w:rsidRPr="00BF4F00" w:rsidRDefault="00DF3B63" w:rsidP="00AB3646">
            <w:pPr>
              <w:keepNext/>
              <w:keepLines/>
              <w:spacing w:after="0"/>
              <w:rPr>
                <w:rFonts w:ascii="Arial" w:hAnsi="Arial"/>
                <w:sz w:val="18"/>
              </w:rPr>
            </w:pPr>
            <w:r w:rsidRPr="00BF4F00">
              <w:rPr>
                <w:rFonts w:ascii="Arial" w:hAnsi="Arial"/>
                <w:sz w:val="18"/>
              </w:rPr>
              <w:t>FR1: 6 GHz</w:t>
            </w:r>
          </w:p>
          <w:p w14:paraId="20CA3CF5" w14:textId="77777777" w:rsidR="00DF3B63" w:rsidRPr="00BF4F00" w:rsidRDefault="00DF3B63" w:rsidP="00AB3646">
            <w:pPr>
              <w:keepNext/>
              <w:keepLines/>
              <w:spacing w:after="0"/>
              <w:rPr>
                <w:rFonts w:ascii="Arial" w:hAnsi="Arial"/>
                <w:sz w:val="18"/>
              </w:rPr>
            </w:pPr>
            <w:r w:rsidRPr="00BF4F00">
              <w:rPr>
                <w:rFonts w:ascii="Arial" w:hAnsi="Arial"/>
                <w:sz w:val="18"/>
              </w:rPr>
              <w:t>FR2: 30 GHz</w:t>
            </w:r>
          </w:p>
        </w:tc>
      </w:tr>
      <w:tr w:rsidR="00DF3B63" w:rsidRPr="00BF4F00" w14:paraId="0AA71989"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25DABC37" w14:textId="77777777" w:rsidR="00DF3B63" w:rsidRPr="00BF4F00" w:rsidRDefault="00DF3B63" w:rsidP="00AB3646">
            <w:pPr>
              <w:keepNext/>
              <w:keepLines/>
              <w:spacing w:after="0"/>
              <w:rPr>
                <w:rFonts w:ascii="Arial" w:hAnsi="Arial"/>
                <w:sz w:val="18"/>
              </w:rPr>
            </w:pPr>
            <w:r w:rsidRPr="00BF4F00">
              <w:rPr>
                <w:rFonts w:ascii="Arial" w:hAnsi="Arial" w:hint="eastAsia"/>
                <w:sz w:val="18"/>
              </w:rPr>
              <w:t>Sub-carrier spacing</w:t>
            </w:r>
          </w:p>
        </w:tc>
        <w:tc>
          <w:tcPr>
            <w:tcW w:w="6733" w:type="dxa"/>
            <w:tcBorders>
              <w:top w:val="single" w:sz="4" w:space="0" w:color="auto"/>
              <w:left w:val="single" w:sz="4" w:space="0" w:color="auto"/>
              <w:bottom w:val="single" w:sz="4" w:space="0" w:color="auto"/>
              <w:right w:val="single" w:sz="4" w:space="0" w:color="auto"/>
            </w:tcBorders>
          </w:tcPr>
          <w:p w14:paraId="53735595" w14:textId="77777777" w:rsidR="00DF3B63" w:rsidRPr="00BF4F00" w:rsidRDefault="00DF3B63" w:rsidP="00AB3646">
            <w:pPr>
              <w:keepNext/>
              <w:keepLines/>
              <w:spacing w:after="0"/>
              <w:rPr>
                <w:rFonts w:ascii="Arial" w:hAnsi="Arial"/>
                <w:sz w:val="18"/>
              </w:rPr>
            </w:pPr>
            <w:r w:rsidRPr="00BF4F00">
              <w:rPr>
                <w:rFonts w:ascii="Arial" w:hAnsi="Arial" w:hint="eastAsia"/>
                <w:sz w:val="18"/>
              </w:rPr>
              <w:t>30 kHz</w:t>
            </w:r>
          </w:p>
        </w:tc>
      </w:tr>
      <w:tr w:rsidR="00DF3B63" w:rsidRPr="00BF4F00" w14:paraId="4B53EE32"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478B5F88" w14:textId="77777777" w:rsidR="00DF3B63" w:rsidRPr="00BF4F00" w:rsidRDefault="00DF3B63" w:rsidP="00AB3646">
            <w:pPr>
              <w:keepNext/>
              <w:keepLines/>
              <w:spacing w:after="0"/>
              <w:rPr>
                <w:rFonts w:ascii="Arial" w:hAnsi="Arial"/>
                <w:sz w:val="18"/>
              </w:rPr>
            </w:pPr>
            <w:r w:rsidRPr="00BF4F00">
              <w:rPr>
                <w:rFonts w:ascii="Arial" w:hAnsi="Arial"/>
                <w:sz w:val="18"/>
              </w:rPr>
              <w:t>BS antenna configurations</w:t>
            </w:r>
          </w:p>
        </w:tc>
        <w:tc>
          <w:tcPr>
            <w:tcW w:w="6733" w:type="dxa"/>
            <w:tcBorders>
              <w:top w:val="single" w:sz="4" w:space="0" w:color="auto"/>
              <w:left w:val="single" w:sz="4" w:space="0" w:color="auto"/>
              <w:bottom w:val="single" w:sz="4" w:space="0" w:color="auto"/>
              <w:right w:val="single" w:sz="4" w:space="0" w:color="auto"/>
            </w:tcBorders>
          </w:tcPr>
          <w:p w14:paraId="48DCB82D" w14:textId="77777777" w:rsidR="00DF3B63" w:rsidRPr="00BF4F00" w:rsidRDefault="00DF3B63" w:rsidP="00AB3646">
            <w:pPr>
              <w:keepNext/>
              <w:keepLines/>
              <w:spacing w:after="0"/>
              <w:rPr>
                <w:rFonts w:ascii="Arial" w:hAnsi="Arial"/>
                <w:sz w:val="18"/>
              </w:rPr>
            </w:pPr>
            <w:r w:rsidRPr="00BF4F00">
              <w:rPr>
                <w:rFonts w:ascii="Arial" w:hAnsi="Arial" w:hint="eastAsia"/>
                <w:sz w:val="18"/>
              </w:rPr>
              <w:t>(baseline): Simulation assumptions in TR 38.901</w:t>
            </w:r>
          </w:p>
          <w:p w14:paraId="56927308" w14:textId="77777777" w:rsidR="00DF3B63" w:rsidRPr="00BF4F00" w:rsidRDefault="00DF3B63" w:rsidP="00AB3646">
            <w:pPr>
              <w:keepNext/>
              <w:keepLines/>
              <w:spacing w:after="0"/>
              <w:rPr>
                <w:rFonts w:ascii="Arial" w:hAnsi="Arial"/>
                <w:sz w:val="18"/>
              </w:rPr>
            </w:pPr>
            <w:r w:rsidRPr="00BF4F00">
              <w:rPr>
                <w:rFonts w:ascii="Arial" w:hAnsi="Arial" w:hint="eastAsia"/>
                <w:sz w:val="18"/>
              </w:rPr>
              <w:t>(M, M, P,</w:t>
            </w:r>
            <w:r w:rsidRPr="00BF4F00">
              <w:rPr>
                <w:rFonts w:ascii="Arial" w:hAnsi="Arial"/>
                <w:sz w:val="18"/>
              </w:rPr>
              <w:t xml:space="preserve"> Mg</w:t>
            </w:r>
            <w:r w:rsidRPr="00BF4F00">
              <w:rPr>
                <w:rFonts w:ascii="Arial" w:hAnsi="Arial" w:hint="eastAsia"/>
                <w:sz w:val="18"/>
              </w:rPr>
              <w:t>,</w:t>
            </w:r>
            <w:r w:rsidRPr="00BF4F00">
              <w:rPr>
                <w:rFonts w:ascii="Arial" w:hAnsi="Arial"/>
                <w:sz w:val="18"/>
              </w:rPr>
              <w:t xml:space="preserve"> Ng</w:t>
            </w:r>
            <w:r w:rsidRPr="00BF4F00">
              <w:rPr>
                <w:rFonts w:ascii="Arial" w:hAnsi="Arial" w:hint="eastAsia"/>
                <w:sz w:val="18"/>
              </w:rPr>
              <w:t>)</w:t>
            </w:r>
            <w:r w:rsidRPr="00BF4F00">
              <w:rPr>
                <w:rFonts w:ascii="Arial" w:hAnsi="Arial"/>
                <w:sz w:val="18"/>
              </w:rPr>
              <w:t xml:space="preserve"> = </w:t>
            </w:r>
            <w:r w:rsidRPr="00BF4F00">
              <w:rPr>
                <w:rFonts w:ascii="Arial" w:hAnsi="Arial" w:hint="eastAsia"/>
                <w:sz w:val="18"/>
              </w:rPr>
              <w:t>(</w:t>
            </w:r>
            <w:r w:rsidRPr="00BF4F00">
              <w:rPr>
                <w:rFonts w:ascii="Arial" w:hAnsi="Arial"/>
                <w:sz w:val="18"/>
              </w:rPr>
              <w:t>8</w:t>
            </w:r>
            <w:r w:rsidRPr="00BF4F00">
              <w:rPr>
                <w:rFonts w:ascii="Arial" w:hAnsi="Arial" w:hint="eastAsia"/>
                <w:sz w:val="18"/>
              </w:rPr>
              <w:t>,</w:t>
            </w:r>
            <w:r w:rsidRPr="00BF4F00">
              <w:rPr>
                <w:rFonts w:ascii="Arial" w:hAnsi="Arial"/>
                <w:sz w:val="18"/>
              </w:rPr>
              <w:t xml:space="preserve"> 8, 2, 1, 4</w:t>
            </w:r>
            <w:r w:rsidRPr="00BF4F00">
              <w:rPr>
                <w:rFonts w:ascii="Arial" w:hAnsi="Arial" w:hint="eastAsia"/>
                <w:sz w:val="18"/>
              </w:rPr>
              <w:t>)</w:t>
            </w:r>
            <w:r w:rsidRPr="00BF4F00">
              <w:rPr>
                <w:rFonts w:ascii="Arial" w:hAnsi="Arial"/>
                <w:sz w:val="18"/>
              </w:rPr>
              <w:t xml:space="preserve">, </w:t>
            </w:r>
            <w:r w:rsidRPr="00BF4F00">
              <w:rPr>
                <w:rFonts w:ascii="Arial" w:hAnsi="Arial" w:hint="eastAsia"/>
                <w:sz w:val="18"/>
              </w:rPr>
              <w:t>(</w:t>
            </w:r>
            <w:proofErr w:type="spellStart"/>
            <w:r w:rsidRPr="00BF4F00">
              <w:rPr>
                <w:rFonts w:ascii="Arial" w:hAnsi="Arial"/>
                <w:sz w:val="18"/>
              </w:rPr>
              <w:t>dH</w:t>
            </w:r>
            <w:proofErr w:type="spellEnd"/>
            <w:r w:rsidRPr="00BF4F00">
              <w:rPr>
                <w:rFonts w:ascii="Arial" w:hAnsi="Arial" w:hint="eastAsia"/>
                <w:sz w:val="18"/>
              </w:rPr>
              <w:t>,</w:t>
            </w:r>
            <w:r w:rsidRPr="00BF4F00">
              <w:rPr>
                <w:rFonts w:ascii="Arial" w:hAnsi="Arial"/>
                <w:sz w:val="18"/>
              </w:rPr>
              <w:t xml:space="preserve"> </w:t>
            </w:r>
            <w:proofErr w:type="spellStart"/>
            <w:r w:rsidRPr="00BF4F00">
              <w:rPr>
                <w:rFonts w:ascii="Arial" w:hAnsi="Arial"/>
                <w:sz w:val="18"/>
              </w:rPr>
              <w:t>dV</w:t>
            </w:r>
            <w:proofErr w:type="spellEnd"/>
            <w:r w:rsidRPr="00BF4F00">
              <w:rPr>
                <w:rFonts w:ascii="Arial" w:hAnsi="Arial" w:hint="eastAsia"/>
                <w:sz w:val="18"/>
              </w:rPr>
              <w:t xml:space="preserve">) </w:t>
            </w:r>
            <w:r w:rsidRPr="00BF4F00">
              <w:rPr>
                <w:rFonts w:ascii="Arial" w:hAnsi="Arial"/>
                <w:sz w:val="18"/>
              </w:rPr>
              <w:t xml:space="preserve">= </w:t>
            </w:r>
            <w:r w:rsidRPr="00BF4F00">
              <w:rPr>
                <w:rFonts w:ascii="Arial" w:hAnsi="Arial" w:hint="eastAsia"/>
                <w:sz w:val="18"/>
              </w:rPr>
              <w:t>(</w:t>
            </w:r>
            <w:r w:rsidRPr="00BF4F00">
              <w:rPr>
                <w:rFonts w:ascii="Arial" w:hAnsi="Arial"/>
                <w:sz w:val="18"/>
              </w:rPr>
              <w:t>0.5</w:t>
            </w:r>
            <w:r w:rsidRPr="00BF4F00">
              <w:rPr>
                <w:rFonts w:ascii="Arial" w:hAnsi="Arial" w:hint="eastAsia"/>
                <w:sz w:val="18"/>
              </w:rPr>
              <w:t xml:space="preserve">, 0.5) </w:t>
            </w:r>
            <w:r w:rsidRPr="00BF4F00">
              <w:rPr>
                <w:rFonts w:ascii="Arial" w:hAnsi="Arial"/>
                <w:sz w:val="18"/>
              </w:rPr>
              <w:t>λ</w:t>
            </w:r>
          </w:p>
        </w:tc>
      </w:tr>
      <w:tr w:rsidR="00DF3B63" w:rsidRPr="00BF4F00" w14:paraId="52E52E0E"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6DE5CA67" w14:textId="77777777" w:rsidR="00DF3B63" w:rsidRPr="00BF4F00" w:rsidRDefault="00DF3B63" w:rsidP="00AB3646">
            <w:pPr>
              <w:keepNext/>
              <w:keepLines/>
              <w:spacing w:after="0"/>
              <w:rPr>
                <w:rFonts w:ascii="Arial" w:hAnsi="Arial"/>
                <w:sz w:val="18"/>
              </w:rPr>
            </w:pPr>
            <w:r w:rsidRPr="00BF4F00">
              <w:rPr>
                <w:rFonts w:ascii="Arial" w:hAnsi="Arial"/>
                <w:sz w:val="18"/>
              </w:rPr>
              <w:t>BS antenna</w:t>
            </w:r>
            <w:r w:rsidRPr="00BF4F00">
              <w:rPr>
                <w:rFonts w:ascii="Arial" w:hAnsi="Arial" w:hint="eastAsia"/>
                <w:sz w:val="18"/>
              </w:rPr>
              <w:t xml:space="preserve"> radiation pattern</w:t>
            </w:r>
          </w:p>
        </w:tc>
        <w:tc>
          <w:tcPr>
            <w:tcW w:w="6733" w:type="dxa"/>
            <w:tcBorders>
              <w:top w:val="single" w:sz="4" w:space="0" w:color="auto"/>
              <w:left w:val="single" w:sz="4" w:space="0" w:color="auto"/>
              <w:bottom w:val="single" w:sz="4" w:space="0" w:color="auto"/>
              <w:right w:val="single" w:sz="4" w:space="0" w:color="auto"/>
            </w:tcBorders>
          </w:tcPr>
          <w:p w14:paraId="2392D43F" w14:textId="77777777" w:rsidR="00DF3B63" w:rsidRPr="00BF4F00" w:rsidRDefault="00DF3B63" w:rsidP="00AB3646">
            <w:pPr>
              <w:keepNext/>
              <w:keepLines/>
              <w:spacing w:after="0"/>
              <w:rPr>
                <w:rFonts w:ascii="Arial" w:hAnsi="Arial"/>
                <w:sz w:val="18"/>
              </w:rPr>
            </w:pPr>
            <w:r w:rsidRPr="00BF4F00">
              <w:rPr>
                <w:rFonts w:ascii="Arial" w:hAnsi="Arial"/>
                <w:sz w:val="18"/>
              </w:rPr>
              <w:t>(Baseline):</w:t>
            </w:r>
            <w:r w:rsidRPr="00BF4F00">
              <w:rPr>
                <w:rFonts w:ascii="Arial" w:hAnsi="Arial" w:hint="eastAsia"/>
                <w:sz w:val="18"/>
              </w:rPr>
              <w:t xml:space="preserve"> Table 7.3-1 in TR 38.901</w:t>
            </w:r>
          </w:p>
        </w:tc>
      </w:tr>
      <w:tr w:rsidR="00DF3B63" w:rsidRPr="00BF4F00" w14:paraId="6A879DAA"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3D24BFA1" w14:textId="77777777" w:rsidR="00DF3B63" w:rsidRPr="00BF4F00" w:rsidRDefault="00DF3B63" w:rsidP="00AB3646">
            <w:pPr>
              <w:keepNext/>
              <w:keepLines/>
              <w:spacing w:after="0"/>
              <w:rPr>
                <w:rFonts w:ascii="Arial" w:hAnsi="Arial"/>
                <w:sz w:val="18"/>
              </w:rPr>
            </w:pPr>
            <w:r w:rsidRPr="00BF4F00">
              <w:rPr>
                <w:rFonts w:ascii="Arial" w:hAnsi="Arial"/>
                <w:sz w:val="18"/>
              </w:rPr>
              <w:t>BS Tx power</w:t>
            </w:r>
          </w:p>
        </w:tc>
        <w:tc>
          <w:tcPr>
            <w:tcW w:w="6733" w:type="dxa"/>
            <w:tcBorders>
              <w:top w:val="single" w:sz="4" w:space="0" w:color="auto"/>
              <w:left w:val="single" w:sz="4" w:space="0" w:color="auto"/>
              <w:bottom w:val="single" w:sz="4" w:space="0" w:color="auto"/>
              <w:right w:val="single" w:sz="4" w:space="0" w:color="auto"/>
            </w:tcBorders>
          </w:tcPr>
          <w:p w14:paraId="45D85695" w14:textId="77777777" w:rsidR="00DF3B63" w:rsidRPr="00BF4F00" w:rsidRDefault="00DF3B63" w:rsidP="00AB3646">
            <w:pPr>
              <w:keepNext/>
              <w:keepLines/>
              <w:spacing w:after="0"/>
              <w:rPr>
                <w:rFonts w:ascii="Arial" w:hAnsi="Arial"/>
                <w:sz w:val="18"/>
              </w:rPr>
            </w:pPr>
            <w:r w:rsidRPr="00BF4F00">
              <w:rPr>
                <w:rFonts w:ascii="Arial" w:hAnsi="Arial"/>
                <w:sz w:val="18"/>
              </w:rPr>
              <w:t>FR1: 56dBm</w:t>
            </w:r>
          </w:p>
          <w:p w14:paraId="177E7CD4" w14:textId="77777777" w:rsidR="00DF3B63" w:rsidRPr="00BF4F00" w:rsidRDefault="00DF3B63" w:rsidP="00AB3646">
            <w:pPr>
              <w:keepNext/>
              <w:keepLines/>
              <w:spacing w:after="0"/>
              <w:rPr>
                <w:rFonts w:ascii="Arial" w:hAnsi="Arial"/>
                <w:sz w:val="18"/>
              </w:rPr>
            </w:pPr>
            <w:r w:rsidRPr="00BF4F00">
              <w:rPr>
                <w:rFonts w:ascii="Arial" w:hAnsi="Arial"/>
                <w:sz w:val="18"/>
              </w:rPr>
              <w:t>FR2: 41dBm</w:t>
            </w:r>
          </w:p>
        </w:tc>
      </w:tr>
      <w:tr w:rsidR="00DF3B63" w:rsidRPr="00BF4F00" w14:paraId="7123B76A"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6FB87BFD" w14:textId="77777777" w:rsidR="00DF3B63" w:rsidRPr="00BF4F00" w:rsidRDefault="00DF3B63" w:rsidP="00AB3646">
            <w:pPr>
              <w:keepNext/>
              <w:keepLines/>
              <w:spacing w:after="0"/>
              <w:rPr>
                <w:rFonts w:ascii="Arial" w:hAnsi="Arial"/>
                <w:sz w:val="18"/>
              </w:rPr>
            </w:pPr>
            <w:r w:rsidRPr="00BF4F00">
              <w:rPr>
                <w:rFonts w:ascii="Arial" w:hAnsi="Arial"/>
                <w:sz w:val="18"/>
              </w:rPr>
              <w:t>Bandwidth</w:t>
            </w:r>
          </w:p>
        </w:tc>
        <w:tc>
          <w:tcPr>
            <w:tcW w:w="6733" w:type="dxa"/>
            <w:tcBorders>
              <w:top w:val="single" w:sz="4" w:space="0" w:color="auto"/>
              <w:left w:val="single" w:sz="4" w:space="0" w:color="auto"/>
              <w:bottom w:val="single" w:sz="4" w:space="0" w:color="auto"/>
              <w:right w:val="single" w:sz="4" w:space="0" w:color="auto"/>
            </w:tcBorders>
          </w:tcPr>
          <w:p w14:paraId="13799512" w14:textId="77777777" w:rsidR="00DF3B63" w:rsidRPr="00BF4F00" w:rsidRDefault="00DF3B63" w:rsidP="00AB3646">
            <w:pPr>
              <w:keepNext/>
              <w:keepLines/>
              <w:spacing w:after="0"/>
              <w:rPr>
                <w:rFonts w:ascii="Arial" w:hAnsi="Arial"/>
                <w:sz w:val="18"/>
              </w:rPr>
            </w:pPr>
            <w:r w:rsidRPr="00BF4F00">
              <w:rPr>
                <w:rFonts w:ascii="Arial" w:hAnsi="Arial"/>
                <w:sz w:val="18"/>
              </w:rPr>
              <w:t>FR1: 100MHz</w:t>
            </w:r>
          </w:p>
          <w:p w14:paraId="3A588644" w14:textId="77777777" w:rsidR="00DF3B63" w:rsidRPr="00BF4F00" w:rsidRDefault="00DF3B63" w:rsidP="00AB3646">
            <w:pPr>
              <w:keepNext/>
              <w:keepLines/>
              <w:spacing w:after="0"/>
              <w:rPr>
                <w:rFonts w:ascii="Arial" w:hAnsi="Arial"/>
                <w:sz w:val="18"/>
              </w:rPr>
            </w:pPr>
            <w:r w:rsidRPr="00BF4F00">
              <w:rPr>
                <w:rFonts w:ascii="Arial" w:hAnsi="Arial"/>
                <w:sz w:val="18"/>
              </w:rPr>
              <w:t>FR2: 400MHz</w:t>
            </w:r>
          </w:p>
        </w:tc>
      </w:tr>
      <w:tr w:rsidR="00DF3B63" w:rsidRPr="00BF4F00" w14:paraId="4777C79D"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0240601D" w14:textId="77777777" w:rsidR="00DF3B63" w:rsidRPr="00BF4F00" w:rsidRDefault="00DF3B63" w:rsidP="00AB3646">
            <w:pPr>
              <w:keepNext/>
              <w:keepLines/>
              <w:spacing w:after="0"/>
              <w:rPr>
                <w:rFonts w:ascii="Arial" w:hAnsi="Arial"/>
                <w:sz w:val="18"/>
              </w:rPr>
            </w:pPr>
            <w:r w:rsidRPr="00BF4F00">
              <w:rPr>
                <w:rFonts w:ascii="Arial" w:hAnsi="Arial"/>
                <w:sz w:val="18"/>
              </w:rPr>
              <w:t>BS noise figure</w:t>
            </w:r>
          </w:p>
        </w:tc>
        <w:tc>
          <w:tcPr>
            <w:tcW w:w="6733" w:type="dxa"/>
            <w:tcBorders>
              <w:top w:val="single" w:sz="4" w:space="0" w:color="auto"/>
              <w:left w:val="single" w:sz="4" w:space="0" w:color="auto"/>
              <w:bottom w:val="single" w:sz="4" w:space="0" w:color="auto"/>
              <w:right w:val="single" w:sz="4" w:space="0" w:color="auto"/>
            </w:tcBorders>
          </w:tcPr>
          <w:p w14:paraId="7AB3DCB9" w14:textId="77777777" w:rsidR="00DF3B63" w:rsidRPr="00BF4F00" w:rsidRDefault="00DF3B63" w:rsidP="00AB3646">
            <w:pPr>
              <w:keepNext/>
              <w:keepLines/>
              <w:spacing w:after="0"/>
              <w:rPr>
                <w:rFonts w:ascii="Arial" w:hAnsi="Arial"/>
                <w:sz w:val="18"/>
              </w:rPr>
            </w:pPr>
            <w:r w:rsidRPr="00BF4F00">
              <w:rPr>
                <w:rFonts w:ascii="Arial" w:hAnsi="Arial"/>
                <w:sz w:val="18"/>
              </w:rPr>
              <w:t>FR1: 5dB</w:t>
            </w:r>
          </w:p>
          <w:p w14:paraId="61279B25" w14:textId="77777777" w:rsidR="00DF3B63" w:rsidRPr="00BF4F00" w:rsidRDefault="00DF3B63" w:rsidP="00AB3646">
            <w:pPr>
              <w:keepNext/>
              <w:keepLines/>
              <w:spacing w:after="0"/>
              <w:rPr>
                <w:rFonts w:ascii="Arial" w:hAnsi="Arial"/>
                <w:sz w:val="18"/>
              </w:rPr>
            </w:pPr>
            <w:r w:rsidRPr="00BF4F00">
              <w:rPr>
                <w:rFonts w:ascii="Arial" w:hAnsi="Arial"/>
                <w:sz w:val="18"/>
              </w:rPr>
              <w:t>FR2: 7dB</w:t>
            </w:r>
          </w:p>
        </w:tc>
      </w:tr>
      <w:tr w:rsidR="00DF3B63" w:rsidRPr="00BF4F00" w14:paraId="7D4FCB20"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59319E76" w14:textId="77777777" w:rsidR="00DF3B63" w:rsidRPr="00BF4F00" w:rsidRDefault="00DF3B63" w:rsidP="00AB3646">
            <w:pPr>
              <w:keepNext/>
              <w:keepLines/>
              <w:spacing w:after="0"/>
              <w:rPr>
                <w:rFonts w:ascii="Arial" w:hAnsi="Arial"/>
                <w:sz w:val="18"/>
              </w:rPr>
            </w:pPr>
            <w:r w:rsidRPr="00BF4F00">
              <w:rPr>
                <w:rFonts w:ascii="Arial" w:hAnsi="Arial"/>
                <w:sz w:val="18"/>
              </w:rPr>
              <w:lastRenderedPageBreak/>
              <w:t>Sensing target distribution</w:t>
            </w:r>
          </w:p>
        </w:tc>
        <w:tc>
          <w:tcPr>
            <w:tcW w:w="6733" w:type="dxa"/>
            <w:tcBorders>
              <w:top w:val="single" w:sz="4" w:space="0" w:color="auto"/>
              <w:left w:val="single" w:sz="4" w:space="0" w:color="auto"/>
              <w:bottom w:val="single" w:sz="4" w:space="0" w:color="auto"/>
              <w:right w:val="single" w:sz="4" w:space="0" w:color="auto"/>
            </w:tcBorders>
          </w:tcPr>
          <w:p w14:paraId="5F98F932"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Horizontal plane: </w:t>
            </w:r>
          </w:p>
          <w:p w14:paraId="0A9CD553" w14:textId="78DFA648" w:rsidR="00DF3B63" w:rsidRPr="00BF4F00" w:rsidRDefault="00DF3B63" w:rsidP="00AB3646">
            <w:pPr>
              <w:keepNext/>
              <w:keepLines/>
              <w:spacing w:after="0"/>
              <w:rPr>
                <w:rFonts w:ascii="Arial" w:hAnsi="Arial"/>
                <w:sz w:val="18"/>
              </w:rPr>
            </w:pPr>
            <w:r w:rsidRPr="00BF4F00">
              <w:rPr>
                <w:rFonts w:ascii="Arial" w:hAnsi="Arial"/>
                <w:sz w:val="18"/>
              </w:rPr>
              <w:t xml:space="preserve">N targets uniformly distributed within </w:t>
            </w:r>
            <w:r w:rsidR="00C05098">
              <w:rPr>
                <w:rFonts w:ascii="Arial" w:hAnsi="Arial" w:hint="eastAsia"/>
                <w:sz w:val="18"/>
              </w:rPr>
              <w:t>each</w:t>
            </w:r>
            <w:r w:rsidRPr="00BF4F00">
              <w:rPr>
                <w:rFonts w:ascii="Arial" w:hAnsi="Arial"/>
                <w:sz w:val="18"/>
              </w:rPr>
              <w:t xml:space="preserve"> cell. </w:t>
            </w:r>
          </w:p>
          <w:p w14:paraId="3DB082AE"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Vertical plane: </w:t>
            </w:r>
          </w:p>
          <w:p w14:paraId="37922986" w14:textId="77777777" w:rsidR="00DF3B63" w:rsidRPr="00BF4F00" w:rsidRDefault="00DF3B63" w:rsidP="00AB3646">
            <w:pPr>
              <w:keepNext/>
              <w:keepLines/>
              <w:spacing w:after="0"/>
              <w:rPr>
                <w:rFonts w:ascii="Arial" w:hAnsi="Arial"/>
                <w:sz w:val="18"/>
              </w:rPr>
            </w:pPr>
            <w:r w:rsidRPr="00BF4F00">
              <w:rPr>
                <w:rFonts w:ascii="Arial" w:hAnsi="Arial"/>
                <w:sz w:val="18"/>
              </w:rPr>
              <w:t>Uniform between 1.5m and 300m.</w:t>
            </w:r>
          </w:p>
        </w:tc>
      </w:tr>
      <w:tr w:rsidR="00DF3B63" w:rsidRPr="00BF4F00" w14:paraId="512037E8"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79307578"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Sensing target </w:t>
            </w:r>
            <w:r w:rsidRPr="00BF4F00">
              <w:rPr>
                <w:rFonts w:ascii="Arial" w:hAnsi="Arial" w:hint="eastAsia"/>
                <w:sz w:val="18"/>
              </w:rPr>
              <w:t>mobility</w:t>
            </w:r>
          </w:p>
        </w:tc>
        <w:tc>
          <w:tcPr>
            <w:tcW w:w="6733" w:type="dxa"/>
            <w:tcBorders>
              <w:top w:val="single" w:sz="4" w:space="0" w:color="auto"/>
              <w:left w:val="single" w:sz="4" w:space="0" w:color="auto"/>
              <w:bottom w:val="single" w:sz="4" w:space="0" w:color="auto"/>
              <w:right w:val="single" w:sz="4" w:space="0" w:color="auto"/>
            </w:tcBorders>
          </w:tcPr>
          <w:p w14:paraId="53177DB2"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Horizontal velocity: uniform distribution between 0 and 180km/h, if horizontal velocity is not fixed to 0. </w:t>
            </w:r>
          </w:p>
          <w:p w14:paraId="473DEE4E" w14:textId="77777777" w:rsidR="00DF3B63" w:rsidRPr="00BF4F00" w:rsidRDefault="00DF3B63" w:rsidP="00AB3646">
            <w:pPr>
              <w:keepNext/>
              <w:keepLines/>
              <w:spacing w:after="0"/>
              <w:rPr>
                <w:rFonts w:ascii="Arial" w:hAnsi="Arial"/>
                <w:sz w:val="18"/>
              </w:rPr>
            </w:pPr>
          </w:p>
          <w:p w14:paraId="2DEBFB9B" w14:textId="77777777" w:rsidR="00DF3B63" w:rsidRPr="00BF4F00" w:rsidRDefault="00DF3B63" w:rsidP="00AB3646">
            <w:pPr>
              <w:keepNext/>
              <w:keepLines/>
              <w:spacing w:after="0"/>
              <w:rPr>
                <w:rFonts w:ascii="Arial" w:hAnsi="Arial"/>
                <w:sz w:val="18"/>
              </w:rPr>
            </w:pPr>
            <w:r w:rsidRPr="00BF4F00">
              <w:rPr>
                <w:rFonts w:ascii="Arial" w:hAnsi="Arial"/>
                <w:sz w:val="18"/>
              </w:rPr>
              <w:t>Vertical velocity: 0km/h</w:t>
            </w:r>
          </w:p>
        </w:tc>
      </w:tr>
      <w:tr w:rsidR="00DF3B63" w:rsidRPr="00BF4F00" w14:paraId="0772D339"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5C0DADE0" w14:textId="77777777" w:rsidR="00DF3B63" w:rsidRPr="00BF4F00" w:rsidRDefault="00DF3B63" w:rsidP="00AB3646">
            <w:pPr>
              <w:keepNext/>
              <w:keepLines/>
              <w:spacing w:after="0"/>
              <w:rPr>
                <w:rFonts w:ascii="Arial" w:hAnsi="Arial"/>
                <w:sz w:val="18"/>
              </w:rPr>
            </w:pPr>
            <w:r w:rsidRPr="00BF4F00">
              <w:rPr>
                <w:rFonts w:ascii="Arial" w:hAnsi="Arial"/>
                <w:sz w:val="18"/>
              </w:rPr>
              <w:t>RCS for each scattering point</w:t>
            </w:r>
          </w:p>
        </w:tc>
        <w:tc>
          <w:tcPr>
            <w:tcW w:w="6733" w:type="dxa"/>
            <w:tcBorders>
              <w:top w:val="single" w:sz="4" w:space="0" w:color="auto"/>
              <w:left w:val="single" w:sz="4" w:space="0" w:color="auto"/>
              <w:bottom w:val="single" w:sz="4" w:space="0" w:color="auto"/>
              <w:right w:val="single" w:sz="4" w:space="0" w:color="auto"/>
            </w:tcBorders>
          </w:tcPr>
          <w:p w14:paraId="13D4481D"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Component A: -12.81 </w:t>
            </w:r>
            <w:proofErr w:type="spellStart"/>
            <w:r w:rsidRPr="00BF4F00">
              <w:rPr>
                <w:rFonts w:ascii="Arial" w:hAnsi="Arial"/>
                <w:sz w:val="18"/>
              </w:rPr>
              <w:t>dBsm</w:t>
            </w:r>
            <w:proofErr w:type="spellEnd"/>
          </w:p>
          <w:p w14:paraId="51DF3CED" w14:textId="77777777" w:rsidR="00DF3B63" w:rsidRPr="00BF4F00" w:rsidRDefault="00DF3B63" w:rsidP="00AB3646">
            <w:pPr>
              <w:keepNext/>
              <w:keepLines/>
              <w:spacing w:after="0"/>
              <w:rPr>
                <w:rFonts w:ascii="Arial" w:hAnsi="Arial"/>
                <w:sz w:val="18"/>
              </w:rPr>
            </w:pPr>
            <w:r w:rsidRPr="00BF4F00">
              <w:rPr>
                <w:rFonts w:ascii="Arial" w:hAnsi="Arial"/>
                <w:sz w:val="18"/>
              </w:rPr>
              <w:t>Component B1: 0 dB</w:t>
            </w:r>
          </w:p>
          <w:p w14:paraId="7C31395E" w14:textId="77777777" w:rsidR="00DF3B63" w:rsidRPr="00BF4F00" w:rsidRDefault="00DF3B63" w:rsidP="00AB3646">
            <w:pPr>
              <w:keepNext/>
              <w:keepLines/>
              <w:spacing w:after="0"/>
              <w:rPr>
                <w:rFonts w:ascii="Arial" w:hAnsi="Arial"/>
                <w:sz w:val="18"/>
              </w:rPr>
            </w:pPr>
            <w:r w:rsidRPr="00BF4F00">
              <w:rPr>
                <w:rFonts w:ascii="Arial" w:hAnsi="Arial"/>
                <w:sz w:val="18"/>
              </w:rPr>
              <w:t>Component B2: 3.74 dB for standard deviation</w:t>
            </w:r>
          </w:p>
        </w:tc>
      </w:tr>
      <w:tr w:rsidR="00DF3B63" w:rsidRPr="00BF4F00" w14:paraId="57C469A6"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5B1DDFC9" w14:textId="77777777" w:rsidR="00DF3B63" w:rsidRPr="00BF4F00" w:rsidRDefault="00DF3B63" w:rsidP="00AB3646">
            <w:pPr>
              <w:keepNext/>
              <w:keepLines/>
              <w:spacing w:after="0"/>
              <w:rPr>
                <w:rFonts w:ascii="Arial" w:hAnsi="Arial"/>
                <w:sz w:val="18"/>
              </w:rPr>
            </w:pPr>
            <w:r w:rsidRPr="00BF4F00">
              <w:rPr>
                <w:rFonts w:ascii="Arial" w:hAnsi="Arial"/>
                <w:sz w:val="18"/>
              </w:rPr>
              <w:t>Minimum 3D distances between pairs of STX/SRX and sensing target</w:t>
            </w:r>
          </w:p>
        </w:tc>
        <w:tc>
          <w:tcPr>
            <w:tcW w:w="6733" w:type="dxa"/>
            <w:tcBorders>
              <w:top w:val="single" w:sz="4" w:space="0" w:color="auto"/>
              <w:left w:val="single" w:sz="4" w:space="0" w:color="auto"/>
              <w:bottom w:val="single" w:sz="4" w:space="0" w:color="auto"/>
              <w:right w:val="single" w:sz="4" w:space="0" w:color="auto"/>
            </w:tcBorders>
          </w:tcPr>
          <w:p w14:paraId="241F170F" w14:textId="77777777" w:rsidR="00DF3B63" w:rsidRPr="00BF4F00" w:rsidRDefault="00DF3B63" w:rsidP="00AB3646">
            <w:pPr>
              <w:keepNext/>
              <w:keepLines/>
              <w:spacing w:after="0"/>
              <w:rPr>
                <w:rFonts w:ascii="Arial" w:hAnsi="Arial"/>
                <w:sz w:val="18"/>
              </w:rPr>
            </w:pPr>
            <w:r w:rsidRPr="00BF4F00">
              <w:rPr>
                <w:rFonts w:ascii="Arial" w:hAnsi="Arial"/>
                <w:sz w:val="18"/>
              </w:rPr>
              <w:t>10 m</w:t>
            </w:r>
          </w:p>
        </w:tc>
      </w:tr>
      <w:tr w:rsidR="00DF3B63" w:rsidRPr="00BF4F00" w14:paraId="0486D442"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2515DEEC" w14:textId="023F8150" w:rsidR="00DF3B63" w:rsidRPr="00BF4F00" w:rsidRDefault="00DF3B63" w:rsidP="00AB3646">
            <w:pPr>
              <w:keepNext/>
              <w:keepLines/>
              <w:spacing w:after="0"/>
              <w:rPr>
                <w:rFonts w:ascii="Arial" w:hAnsi="Arial"/>
                <w:sz w:val="18"/>
              </w:rPr>
            </w:pPr>
            <w:r w:rsidRPr="00BF4F00">
              <w:rPr>
                <w:rFonts w:ascii="Arial" w:hAnsi="Arial"/>
                <w:sz w:val="18"/>
              </w:rPr>
              <w:t xml:space="preserve">Minimum 3D distances between </w:t>
            </w:r>
            <w:r w:rsidR="00C05098">
              <w:rPr>
                <w:rFonts w:ascii="Arial" w:hAnsi="Arial" w:hint="eastAsia"/>
                <w:sz w:val="18"/>
              </w:rPr>
              <w:t>targets</w:t>
            </w:r>
          </w:p>
        </w:tc>
        <w:tc>
          <w:tcPr>
            <w:tcW w:w="6733" w:type="dxa"/>
            <w:tcBorders>
              <w:top w:val="single" w:sz="4" w:space="0" w:color="auto"/>
              <w:left w:val="single" w:sz="4" w:space="0" w:color="auto"/>
              <w:bottom w:val="single" w:sz="4" w:space="0" w:color="auto"/>
              <w:right w:val="single" w:sz="4" w:space="0" w:color="auto"/>
            </w:tcBorders>
          </w:tcPr>
          <w:p w14:paraId="5315C080" w14:textId="77777777" w:rsidR="00DF3B63" w:rsidRPr="00BF4F00" w:rsidRDefault="00DF3B63" w:rsidP="00AB3646">
            <w:pPr>
              <w:keepNext/>
              <w:keepLines/>
              <w:spacing w:after="0"/>
              <w:rPr>
                <w:rFonts w:ascii="Arial" w:hAnsi="Arial"/>
                <w:sz w:val="18"/>
              </w:rPr>
            </w:pPr>
            <w:r w:rsidRPr="00BF4F00">
              <w:rPr>
                <w:rFonts w:ascii="Arial" w:hAnsi="Arial" w:hint="eastAsia"/>
                <w:sz w:val="18"/>
              </w:rPr>
              <w:t>10 m</w:t>
            </w:r>
          </w:p>
        </w:tc>
      </w:tr>
      <w:tr w:rsidR="00DF3B63" w:rsidRPr="00BF4F00" w14:paraId="796DED89"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43898EB7" w14:textId="77777777" w:rsidR="00DF3B63" w:rsidRPr="00BF4F00" w:rsidRDefault="00DF3B63" w:rsidP="00AB3646">
            <w:pPr>
              <w:keepNext/>
              <w:keepLines/>
              <w:spacing w:after="0"/>
              <w:rPr>
                <w:rFonts w:ascii="Arial" w:hAnsi="Arial"/>
                <w:sz w:val="18"/>
              </w:rPr>
            </w:pPr>
            <w:r w:rsidRPr="00BF4F00">
              <w:rPr>
                <w:rFonts w:ascii="Arial" w:hAnsi="Arial"/>
                <w:sz w:val="18"/>
              </w:rPr>
              <w:t>Wrapping Method</w:t>
            </w:r>
          </w:p>
        </w:tc>
        <w:tc>
          <w:tcPr>
            <w:tcW w:w="6733" w:type="dxa"/>
            <w:tcBorders>
              <w:top w:val="single" w:sz="4" w:space="0" w:color="auto"/>
              <w:left w:val="single" w:sz="4" w:space="0" w:color="auto"/>
              <w:bottom w:val="single" w:sz="4" w:space="0" w:color="auto"/>
              <w:right w:val="single" w:sz="4" w:space="0" w:color="auto"/>
            </w:tcBorders>
          </w:tcPr>
          <w:p w14:paraId="0F34D8CD" w14:textId="4AA41625" w:rsidR="00DF3B63" w:rsidRPr="00BF4F00" w:rsidRDefault="00DF3B63" w:rsidP="00AB3646">
            <w:pPr>
              <w:keepNext/>
              <w:keepLines/>
              <w:spacing w:after="0"/>
              <w:rPr>
                <w:rFonts w:ascii="Arial" w:hAnsi="Arial"/>
                <w:sz w:val="18"/>
              </w:rPr>
            </w:pPr>
            <w:r w:rsidRPr="00BF4F00">
              <w:rPr>
                <w:rFonts w:ascii="Arial" w:hAnsi="Arial"/>
                <w:sz w:val="18"/>
              </w:rPr>
              <w:t>No wrapping method is used if interference is not modelled, otherwise geographical distance</w:t>
            </w:r>
            <w:r w:rsidR="00F707D8">
              <w:rPr>
                <w:rFonts w:ascii="Arial" w:hAnsi="Arial" w:hint="eastAsia"/>
                <w:sz w:val="18"/>
              </w:rPr>
              <w:t>-</w:t>
            </w:r>
            <w:r w:rsidRPr="00BF4F00">
              <w:rPr>
                <w:rFonts w:ascii="Arial" w:hAnsi="Arial"/>
                <w:sz w:val="18"/>
              </w:rPr>
              <w:t>based wrapping</w:t>
            </w:r>
          </w:p>
        </w:tc>
      </w:tr>
      <w:tr w:rsidR="00DF3B63" w:rsidRPr="00BF4F00" w14:paraId="7ADF610A"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093EA266" w14:textId="77777777" w:rsidR="00DF3B63" w:rsidRPr="00BF4F00" w:rsidRDefault="00DF3B63" w:rsidP="00AB3646">
            <w:pPr>
              <w:keepNext/>
              <w:keepLines/>
              <w:spacing w:after="0"/>
              <w:rPr>
                <w:rFonts w:ascii="Arial" w:hAnsi="Arial"/>
                <w:sz w:val="18"/>
              </w:rPr>
            </w:pPr>
            <w:r w:rsidRPr="00BF4F00">
              <w:rPr>
                <w:rFonts w:ascii="Arial" w:hAnsi="Arial" w:hint="eastAsia"/>
                <w:sz w:val="18"/>
              </w:rPr>
              <w:t>Fast fading model</w:t>
            </w:r>
          </w:p>
        </w:tc>
        <w:tc>
          <w:tcPr>
            <w:tcW w:w="6733" w:type="dxa"/>
            <w:tcBorders>
              <w:top w:val="single" w:sz="4" w:space="0" w:color="auto"/>
              <w:left w:val="single" w:sz="4" w:space="0" w:color="auto"/>
              <w:bottom w:val="single" w:sz="4" w:space="0" w:color="auto"/>
              <w:right w:val="single" w:sz="4" w:space="0" w:color="auto"/>
            </w:tcBorders>
          </w:tcPr>
          <w:p w14:paraId="42E8DFD2" w14:textId="77777777" w:rsidR="00DF3B63" w:rsidRPr="00BF4F00" w:rsidRDefault="00DF3B63" w:rsidP="00AB3646">
            <w:pPr>
              <w:keepNext/>
              <w:keepLines/>
              <w:spacing w:after="0"/>
              <w:rPr>
                <w:rFonts w:ascii="Arial" w:hAnsi="Arial"/>
                <w:sz w:val="18"/>
              </w:rPr>
            </w:pPr>
            <w:r w:rsidRPr="00BF4F00">
              <w:rPr>
                <w:rFonts w:ascii="Arial" w:hAnsi="Arial" w:hint="eastAsia"/>
                <w:sz w:val="18"/>
              </w:rPr>
              <w:t xml:space="preserve">(baseline): Annex B in </w:t>
            </w:r>
            <w:r w:rsidRPr="00BF4F00">
              <w:rPr>
                <w:rFonts w:ascii="Arial" w:hAnsi="Arial"/>
                <w:sz w:val="18"/>
              </w:rPr>
              <w:t>TR 36.777</w:t>
            </w:r>
          </w:p>
        </w:tc>
      </w:tr>
      <w:tr w:rsidR="00DF3B63" w:rsidRPr="00BF4F00" w14:paraId="79A75D5A"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vAlign w:val="center"/>
          </w:tcPr>
          <w:p w14:paraId="669AB018" w14:textId="77777777" w:rsidR="00DF3B63" w:rsidRPr="00BF4F00" w:rsidRDefault="00DF3B63" w:rsidP="00AB3646">
            <w:pPr>
              <w:keepNext/>
              <w:keepLines/>
              <w:spacing w:after="0"/>
              <w:rPr>
                <w:rFonts w:ascii="Arial" w:hAnsi="Arial"/>
                <w:sz w:val="18"/>
              </w:rPr>
            </w:pPr>
            <w:r w:rsidRPr="00BF4F00">
              <w:rPr>
                <w:rFonts w:ascii="Arial" w:hAnsi="Arial" w:hint="eastAsia"/>
                <w:sz w:val="18"/>
              </w:rPr>
              <w:t>Absolute delay</w:t>
            </w:r>
          </w:p>
        </w:tc>
        <w:tc>
          <w:tcPr>
            <w:tcW w:w="6733" w:type="dxa"/>
            <w:tcBorders>
              <w:top w:val="single" w:sz="4" w:space="0" w:color="auto"/>
              <w:left w:val="single" w:sz="4" w:space="0" w:color="auto"/>
              <w:bottom w:val="single" w:sz="4" w:space="0" w:color="auto"/>
              <w:right w:val="single" w:sz="4" w:space="0" w:color="auto"/>
            </w:tcBorders>
          </w:tcPr>
          <w:p w14:paraId="57628579" w14:textId="77777777" w:rsidR="00DF3B63" w:rsidRPr="00BF4F00" w:rsidRDefault="00DF3B63" w:rsidP="00AB3646">
            <w:pPr>
              <w:keepNext/>
              <w:keepLines/>
              <w:spacing w:after="0"/>
              <w:rPr>
                <w:rFonts w:ascii="Arial" w:hAnsi="Arial"/>
                <w:sz w:val="18"/>
              </w:rPr>
            </w:pPr>
            <w:r w:rsidRPr="00BF4F00">
              <w:rPr>
                <w:rFonts w:ascii="Arial" w:hAnsi="Arial" w:hint="eastAsia"/>
                <w:sz w:val="18"/>
              </w:rPr>
              <w:t xml:space="preserve">(baseline): Table 7.6.9-1 in </w:t>
            </w:r>
            <w:r w:rsidRPr="00BF4F00">
              <w:rPr>
                <w:rFonts w:ascii="Arial" w:hAnsi="Arial"/>
                <w:sz w:val="18"/>
              </w:rPr>
              <w:t>TR 3</w:t>
            </w:r>
            <w:r w:rsidRPr="00BF4F00">
              <w:rPr>
                <w:rFonts w:ascii="Arial" w:hAnsi="Arial" w:hint="eastAsia"/>
                <w:sz w:val="18"/>
              </w:rPr>
              <w:t>8</w:t>
            </w:r>
            <w:r w:rsidRPr="00BF4F00">
              <w:rPr>
                <w:rFonts w:ascii="Arial" w:hAnsi="Arial"/>
                <w:sz w:val="18"/>
              </w:rPr>
              <w:t>.</w:t>
            </w:r>
            <w:r w:rsidRPr="00BF4F00">
              <w:rPr>
                <w:rFonts w:ascii="Arial" w:hAnsi="Arial" w:hint="eastAsia"/>
                <w:sz w:val="18"/>
              </w:rPr>
              <w:t>901</w:t>
            </w:r>
          </w:p>
        </w:tc>
      </w:tr>
      <w:tr w:rsidR="00DF3B63" w:rsidRPr="00BF4F00" w14:paraId="08706BB0" w14:textId="77777777" w:rsidTr="00AB3646">
        <w:trPr>
          <w:trHeight w:val="284"/>
        </w:trPr>
        <w:tc>
          <w:tcPr>
            <w:tcW w:w="2629" w:type="dxa"/>
            <w:tcBorders>
              <w:top w:val="single" w:sz="4" w:space="0" w:color="auto"/>
              <w:left w:val="single" w:sz="4" w:space="0" w:color="auto"/>
              <w:bottom w:val="single" w:sz="4" w:space="0" w:color="auto"/>
              <w:right w:val="single" w:sz="4" w:space="0" w:color="auto"/>
            </w:tcBorders>
          </w:tcPr>
          <w:p w14:paraId="24B54334" w14:textId="77777777" w:rsidR="00DF3B63" w:rsidRPr="00BF4F00" w:rsidRDefault="00DF3B63" w:rsidP="00AB3646">
            <w:pPr>
              <w:keepNext/>
              <w:keepLines/>
              <w:spacing w:after="0"/>
              <w:rPr>
                <w:rFonts w:ascii="Arial" w:hAnsi="Arial"/>
                <w:sz w:val="18"/>
              </w:rPr>
            </w:pPr>
            <w:r w:rsidRPr="00BF4F00">
              <w:rPr>
                <w:rFonts w:ascii="Arial" w:hAnsi="Arial"/>
                <w:sz w:val="18"/>
              </w:rPr>
              <w:t>STX/SRX selection</w:t>
            </w:r>
          </w:p>
        </w:tc>
        <w:tc>
          <w:tcPr>
            <w:tcW w:w="6733" w:type="dxa"/>
            <w:tcBorders>
              <w:top w:val="single" w:sz="4" w:space="0" w:color="auto"/>
              <w:left w:val="single" w:sz="4" w:space="0" w:color="auto"/>
              <w:bottom w:val="single" w:sz="4" w:space="0" w:color="auto"/>
              <w:right w:val="single" w:sz="4" w:space="0" w:color="auto"/>
            </w:tcBorders>
          </w:tcPr>
          <w:p w14:paraId="58DFDEF5" w14:textId="77777777" w:rsidR="00DF3B63" w:rsidRPr="00BF4F00" w:rsidRDefault="00DF3B63" w:rsidP="00AB3646">
            <w:pPr>
              <w:keepNext/>
              <w:keepLines/>
              <w:spacing w:after="0"/>
              <w:rPr>
                <w:rFonts w:ascii="Arial" w:hAnsi="Arial"/>
                <w:sz w:val="18"/>
              </w:rPr>
            </w:pPr>
            <w:r w:rsidRPr="00BF4F00">
              <w:rPr>
                <w:rFonts w:ascii="Arial" w:hAnsi="Arial"/>
                <w:sz w:val="18"/>
              </w:rPr>
              <w:t xml:space="preserve">Best N = 4 STX-SRX pairs to be selected for the target. </w:t>
            </w:r>
          </w:p>
          <w:p w14:paraId="1F793845" w14:textId="77777777" w:rsidR="00DF3B63" w:rsidRPr="00BF4F00" w:rsidRDefault="00DF3B63" w:rsidP="00AB3646">
            <w:pPr>
              <w:keepNext/>
              <w:keepLines/>
              <w:spacing w:after="0"/>
              <w:rPr>
                <w:rFonts w:ascii="Arial" w:hAnsi="Arial"/>
                <w:sz w:val="18"/>
              </w:rPr>
            </w:pPr>
            <w:r w:rsidRPr="00BF4F00">
              <w:rPr>
                <w:rFonts w:ascii="Arial" w:hAnsi="Arial"/>
                <w:sz w:val="18"/>
              </w:rPr>
              <w:t>NOTE:</w:t>
            </w:r>
            <w:r w:rsidRPr="00BF4F00">
              <w:rPr>
                <w:rFonts w:ascii="Arial" w:hAnsi="Arial"/>
                <w:sz w:val="18"/>
              </w:rPr>
              <w:tab/>
              <w:t>Based on the STX-SRX pairs with the smallest power scaling factor of the target channel.</w:t>
            </w:r>
          </w:p>
        </w:tc>
      </w:tr>
    </w:tbl>
    <w:p w14:paraId="358E7F23" w14:textId="286B8AB7" w:rsidR="00B46117" w:rsidRDefault="0003370A" w:rsidP="00DF3B63">
      <w:pPr>
        <w:wordWrap/>
        <w:adjustRightInd w:val="0"/>
        <w:snapToGrid w:val="0"/>
        <w:spacing w:before="100" w:beforeAutospacing="1" w:afterLines="50" w:after="120" w:line="264" w:lineRule="auto"/>
        <w:rPr>
          <w:rFonts w:ascii="Calibri" w:eastAsia="바탕" w:hAnsi="Calibri" w:cs="Calibri"/>
          <w:i/>
          <w:sz w:val="22"/>
        </w:rPr>
      </w:pPr>
      <w:r w:rsidRPr="00BF4F00">
        <w:rPr>
          <w:rFonts w:ascii="Calibri" w:eastAsia="바탕" w:hAnsi="Calibri" w:cs="Calibri"/>
          <w:b/>
          <w:i/>
          <w:sz w:val="22"/>
        </w:rPr>
        <w:t xml:space="preserve">Proposal </w:t>
      </w:r>
      <w:r w:rsidR="00543C93">
        <w:rPr>
          <w:rFonts w:ascii="Calibri" w:eastAsia="바탕" w:hAnsi="Calibri" w:cs="Calibri" w:hint="eastAsia"/>
          <w:b/>
          <w:i/>
          <w:sz w:val="22"/>
        </w:rPr>
        <w:t>11</w:t>
      </w:r>
      <w:r w:rsidRPr="00BF4F00">
        <w:rPr>
          <w:rFonts w:ascii="Calibri" w:eastAsia="바탕" w:hAnsi="Calibri" w:cs="Calibri" w:hint="eastAsia"/>
          <w:b/>
          <w:i/>
          <w:sz w:val="22"/>
        </w:rPr>
        <w:t>:</w:t>
      </w:r>
      <w:r w:rsidRPr="00BF4F00">
        <w:rPr>
          <w:rFonts w:ascii="Calibri" w:eastAsia="바탕" w:hAnsi="Calibri" w:cs="Calibri" w:hint="eastAsia"/>
          <w:i/>
          <w:sz w:val="22"/>
        </w:rPr>
        <w:t xml:space="preserve"> </w:t>
      </w:r>
      <w:r w:rsidRPr="00BF4F00">
        <w:rPr>
          <w:rFonts w:ascii="Calibri" w:eastAsia="바탕" w:hAnsi="Calibri" w:cs="Calibri"/>
          <w:i/>
          <w:sz w:val="22"/>
        </w:rPr>
        <w:t>To streamline the effort required for performance evaluation</w:t>
      </w:r>
      <w:r w:rsidRPr="00BF4F00">
        <w:rPr>
          <w:rFonts w:ascii="Calibri" w:eastAsia="바탕" w:hAnsi="Calibri" w:cs="Calibri" w:hint="eastAsia"/>
          <w:i/>
          <w:sz w:val="22"/>
        </w:rPr>
        <w:t xml:space="preserve"> of 5G-A ISAC systems</w:t>
      </w:r>
      <w:r w:rsidRPr="00BF4F00">
        <w:rPr>
          <w:rFonts w:ascii="Calibri" w:eastAsia="바탕" w:hAnsi="Calibri" w:cs="Calibri"/>
          <w:i/>
          <w:sz w:val="22"/>
        </w:rPr>
        <w:t xml:space="preserve">, we </w:t>
      </w:r>
      <w:r w:rsidRPr="00BF4F00">
        <w:rPr>
          <w:rFonts w:ascii="Calibri" w:eastAsia="바탕" w:hAnsi="Calibri" w:cs="Calibri" w:hint="eastAsia"/>
          <w:i/>
          <w:sz w:val="22"/>
        </w:rPr>
        <w:t>prefer</w:t>
      </w:r>
      <w:r w:rsidRPr="00BF4F00">
        <w:rPr>
          <w:rFonts w:ascii="Calibri" w:eastAsia="바탕" w:hAnsi="Calibri" w:cs="Calibri"/>
          <w:i/>
          <w:sz w:val="22"/>
        </w:rPr>
        <w:t xml:space="preserve"> limiting the scope to representative scenarios</w:t>
      </w:r>
      <w:r w:rsidR="007617E6" w:rsidRPr="00BF4F00">
        <w:rPr>
          <w:rFonts w:ascii="Calibri" w:eastAsia="바탕" w:hAnsi="Calibri" w:cs="Calibri" w:hint="eastAsia"/>
          <w:i/>
          <w:sz w:val="22"/>
        </w:rPr>
        <w:t xml:space="preserve"> and </w:t>
      </w:r>
      <w:r w:rsidR="007617E6" w:rsidRPr="00BF4F00">
        <w:rPr>
          <w:rFonts w:ascii="Calibri" w:eastAsia="바탕" w:hAnsi="Calibri" w:cs="Calibri"/>
          <w:i/>
          <w:sz w:val="22"/>
        </w:rPr>
        <w:t>simplifying</w:t>
      </w:r>
      <w:r w:rsidR="007617E6" w:rsidRPr="00BF4F00">
        <w:rPr>
          <w:rFonts w:ascii="Calibri" w:eastAsia="바탕" w:hAnsi="Calibri" w:cs="Calibri" w:hint="eastAsia"/>
          <w:i/>
          <w:sz w:val="22"/>
        </w:rPr>
        <w:t xml:space="preserve"> the evaluation parameters for evaluation simplicity</w:t>
      </w:r>
      <w:r w:rsidR="008C3351" w:rsidRPr="00BF4F00">
        <w:rPr>
          <w:rFonts w:ascii="Calibri" w:eastAsia="바탕" w:hAnsi="Calibri" w:cs="Calibri" w:hint="eastAsia"/>
          <w:i/>
          <w:sz w:val="22"/>
        </w:rPr>
        <w:t>,</w:t>
      </w:r>
      <w:r w:rsidR="008C3351" w:rsidRPr="00BF4F00">
        <w:rPr>
          <w:rFonts w:ascii="Calibri" w:eastAsia="바탕" w:hAnsi="Calibri" w:cs="Calibri"/>
          <w:i/>
          <w:sz w:val="22"/>
        </w:rPr>
        <w:t xml:space="preserve"> using </w:t>
      </w:r>
      <w:r w:rsidR="008C3351" w:rsidRPr="00BF4F00">
        <w:rPr>
          <w:rFonts w:ascii="Calibri" w:eastAsia="바탕" w:hAnsi="Calibri" w:cs="Calibri" w:hint="eastAsia"/>
          <w:i/>
          <w:sz w:val="22"/>
        </w:rPr>
        <w:t>current simulation assumption</w:t>
      </w:r>
      <w:r w:rsidR="00C31A9E" w:rsidRPr="00BF4F00">
        <w:rPr>
          <w:rFonts w:ascii="Calibri" w:eastAsia="바탕" w:hAnsi="Calibri" w:cs="Calibri" w:hint="eastAsia"/>
          <w:i/>
          <w:sz w:val="22"/>
        </w:rPr>
        <w:t>s</w:t>
      </w:r>
      <w:r w:rsidR="008C3351" w:rsidRPr="00BF4F00">
        <w:rPr>
          <w:rFonts w:ascii="Calibri" w:eastAsia="바탕" w:hAnsi="Calibri" w:cs="Calibri"/>
          <w:i/>
          <w:sz w:val="22"/>
        </w:rPr>
        <w:t xml:space="preserve"> as a </w:t>
      </w:r>
      <w:r w:rsidR="008C3351" w:rsidRPr="00BF4F00">
        <w:rPr>
          <w:rFonts w:ascii="Calibri" w:eastAsia="바탕" w:hAnsi="Calibri" w:cs="Calibri" w:hint="eastAsia"/>
          <w:i/>
          <w:sz w:val="22"/>
        </w:rPr>
        <w:t>baseline</w:t>
      </w:r>
      <w:r w:rsidR="008C3351" w:rsidRPr="00BF4F00">
        <w:rPr>
          <w:rFonts w:ascii="Calibri" w:eastAsia="바탕" w:hAnsi="Calibri" w:cs="Calibri"/>
          <w:i/>
          <w:sz w:val="22"/>
        </w:rPr>
        <w:t>.</w:t>
      </w:r>
    </w:p>
    <w:p w14:paraId="14361553" w14:textId="77777777" w:rsidR="00DF3B63" w:rsidRPr="00BF4F00" w:rsidRDefault="00DF3B63" w:rsidP="00DF3B63">
      <w:pPr>
        <w:wordWrap/>
        <w:adjustRightInd w:val="0"/>
        <w:snapToGrid w:val="0"/>
        <w:spacing w:before="100" w:beforeAutospacing="1" w:afterLines="50" w:after="120" w:line="264" w:lineRule="auto"/>
        <w:rPr>
          <w:rFonts w:ascii="Calibri" w:eastAsia="바탕" w:hAnsi="Calibri" w:cs="Calibri"/>
          <w:b/>
          <w:i/>
          <w:sz w:val="22"/>
        </w:rPr>
      </w:pPr>
    </w:p>
    <w:p w14:paraId="4580257D" w14:textId="77777777" w:rsidR="00C109EC" w:rsidRPr="00BF4F00" w:rsidRDefault="00C109EC"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BF4F00">
        <w:rPr>
          <w:rFonts w:ascii="Arial" w:eastAsia="바탕" w:hAnsi="Arial" w:cs="Times New Roman"/>
          <w:kern w:val="0"/>
          <w:sz w:val="32"/>
          <w:szCs w:val="28"/>
          <w:lang w:eastAsia="en-US"/>
        </w:rPr>
        <w:t>Conclusion</w:t>
      </w:r>
      <w:r w:rsidR="00B12CF8" w:rsidRPr="00BF4F00">
        <w:rPr>
          <w:rFonts w:ascii="Arial" w:eastAsia="바탕" w:hAnsi="Arial" w:cs="Times New Roman"/>
          <w:kern w:val="0"/>
          <w:sz w:val="32"/>
          <w:szCs w:val="28"/>
          <w:lang w:eastAsia="en-US"/>
        </w:rPr>
        <w:t>s</w:t>
      </w:r>
    </w:p>
    <w:p w14:paraId="602AF923" w14:textId="77777777" w:rsidR="0097251E" w:rsidRPr="00BF4F00"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BF4F00">
        <w:rPr>
          <w:rFonts w:ascii="Calibri" w:eastAsia="바탕" w:hAnsi="Calibri" w:cs="Calibri"/>
          <w:sz w:val="22"/>
        </w:rPr>
        <w:t xml:space="preserve">In this contribution, </w:t>
      </w:r>
      <w:r w:rsidR="009745F1" w:rsidRPr="00BF4F00">
        <w:rPr>
          <w:rFonts w:ascii="Calibri" w:eastAsia="바탕" w:hAnsi="Calibri" w:cs="Calibri"/>
          <w:sz w:val="22"/>
        </w:rPr>
        <w:t xml:space="preserve">the </w:t>
      </w:r>
      <w:r w:rsidR="00204500" w:rsidRPr="00BF4F00">
        <w:rPr>
          <w:rFonts w:ascii="Calibri" w:eastAsia="바탕" w:hAnsi="Calibri" w:cs="Calibri"/>
          <w:sz w:val="22"/>
        </w:rPr>
        <w:t>issues related to</w:t>
      </w:r>
      <w:r w:rsidR="009745F1" w:rsidRPr="00BF4F00">
        <w:rPr>
          <w:rFonts w:ascii="Calibri" w:eastAsia="바탕" w:hAnsi="Calibri" w:cs="Calibri"/>
          <w:sz w:val="22"/>
        </w:rPr>
        <w:t xml:space="preserve"> the ISAC channel modeling </w:t>
      </w:r>
      <w:r w:rsidRPr="00BF4F00">
        <w:rPr>
          <w:rFonts w:ascii="Calibri" w:eastAsia="바탕" w:hAnsi="Calibri" w:cs="Calibri"/>
          <w:sz w:val="22"/>
        </w:rPr>
        <w:t xml:space="preserve">were </w:t>
      </w:r>
      <w:r w:rsidR="008B621F" w:rsidRPr="00BF4F00">
        <w:rPr>
          <w:rFonts w:ascii="Calibri" w:eastAsia="바탕" w:hAnsi="Calibri" w:cs="Calibri" w:hint="eastAsia"/>
          <w:sz w:val="22"/>
        </w:rPr>
        <w:t>d</w:t>
      </w:r>
      <w:r w:rsidR="008B621F" w:rsidRPr="00BF4F00">
        <w:rPr>
          <w:rFonts w:ascii="Calibri" w:eastAsia="바탕" w:hAnsi="Calibri" w:cs="Calibri"/>
          <w:sz w:val="22"/>
        </w:rPr>
        <w:t>iscuss</w:t>
      </w:r>
      <w:r w:rsidRPr="00BF4F00">
        <w:rPr>
          <w:rFonts w:ascii="Calibri" w:eastAsia="바탕" w:hAnsi="Calibri" w:cs="Calibri"/>
          <w:sz w:val="22"/>
        </w:rPr>
        <w:t xml:space="preserve">ed. The following </w:t>
      </w:r>
      <w:r w:rsidR="006B48ED" w:rsidRPr="00BF4F00">
        <w:rPr>
          <w:rFonts w:ascii="Calibri" w:eastAsia="바탕" w:hAnsi="Calibri" w:cs="Calibri"/>
          <w:sz w:val="22"/>
        </w:rPr>
        <w:t>observation</w:t>
      </w:r>
      <w:r w:rsidRPr="00BF4F00">
        <w:rPr>
          <w:rFonts w:ascii="Calibri" w:eastAsia="바탕" w:hAnsi="Calibri" w:cs="Calibri"/>
          <w:sz w:val="22"/>
        </w:rPr>
        <w:t xml:space="preserve">s </w:t>
      </w:r>
      <w:r w:rsidR="009745F1" w:rsidRPr="00BF4F00">
        <w:rPr>
          <w:rFonts w:ascii="Calibri" w:eastAsia="바탕" w:hAnsi="Calibri" w:cs="Calibri"/>
          <w:sz w:val="22"/>
        </w:rPr>
        <w:t xml:space="preserve">and proposals </w:t>
      </w:r>
      <w:r w:rsidRPr="00BF4F00">
        <w:rPr>
          <w:rFonts w:ascii="Calibri" w:eastAsia="바탕" w:hAnsi="Calibri" w:cs="Calibri"/>
          <w:sz w:val="22"/>
        </w:rPr>
        <w:t>were made as conclusion</w:t>
      </w:r>
      <w:r w:rsidR="009745F1" w:rsidRPr="00BF4F00">
        <w:rPr>
          <w:rFonts w:ascii="Calibri" w:eastAsia="바탕" w:hAnsi="Calibri" w:cs="Calibri"/>
          <w:sz w:val="22"/>
        </w:rPr>
        <w:t>s</w:t>
      </w:r>
      <w:r w:rsidRPr="00BF4F00">
        <w:rPr>
          <w:rFonts w:ascii="Calibri" w:eastAsia="바탕" w:hAnsi="Calibri" w:cs="Calibri"/>
          <w:sz w:val="22"/>
        </w:rPr>
        <w:t>.</w:t>
      </w:r>
    </w:p>
    <w:p w14:paraId="6DA63490" w14:textId="77777777" w:rsidR="00EE41DD" w:rsidRPr="00BF4F00" w:rsidRDefault="00EE41DD" w:rsidP="00EE41DD">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1: </w:t>
      </w:r>
      <w:r w:rsidRPr="00BF4F00">
        <w:rPr>
          <w:rFonts w:ascii="Calibri" w:eastAsia="바탕" w:hAnsi="Calibri" w:cs="Calibri" w:hint="eastAsia"/>
          <w:i/>
          <w:sz w:val="22"/>
        </w:rPr>
        <w:t>Consider p</w:t>
      </w:r>
      <w:r w:rsidRPr="00BF4F00">
        <w:rPr>
          <w:rFonts w:ascii="Calibri" w:eastAsia="바탕" w:hAnsi="Calibri" w:cs="Calibri"/>
          <w:i/>
          <w:sz w:val="22"/>
        </w:rPr>
        <w:t xml:space="preserve">erformance requirements in TS22.137 </w:t>
      </w:r>
      <w:r w:rsidRPr="00BF4F00">
        <w:rPr>
          <w:rFonts w:ascii="Calibri" w:eastAsia="바탕" w:hAnsi="Calibri" w:cs="Calibri" w:hint="eastAsia"/>
          <w:i/>
          <w:sz w:val="22"/>
        </w:rPr>
        <w:t xml:space="preserve">as </w:t>
      </w:r>
      <w:r w:rsidRPr="00BF4F00">
        <w:rPr>
          <w:rFonts w:ascii="Calibri" w:eastAsia="바탕" w:hAnsi="Calibri" w:cs="Calibri"/>
          <w:i/>
          <w:sz w:val="22"/>
        </w:rPr>
        <w:t>a starting point</w:t>
      </w:r>
      <w:r w:rsidRPr="00BF4F00">
        <w:rPr>
          <w:rFonts w:ascii="Calibri" w:eastAsia="바탕" w:hAnsi="Calibri" w:cs="Calibri" w:hint="eastAsia"/>
          <w:i/>
          <w:sz w:val="22"/>
        </w:rPr>
        <w:t xml:space="preserve"> for the performance </w:t>
      </w:r>
      <w:r w:rsidRPr="00BF4F00">
        <w:rPr>
          <w:rFonts w:ascii="Calibri" w:eastAsia="바탕" w:hAnsi="Calibri" w:cs="Calibri"/>
          <w:i/>
          <w:sz w:val="22"/>
        </w:rPr>
        <w:t>evaluation</w:t>
      </w:r>
      <w:r w:rsidRPr="00BF4F00">
        <w:rPr>
          <w:rFonts w:ascii="Calibri" w:eastAsia="바탕" w:hAnsi="Calibri" w:cs="Calibri" w:hint="eastAsia"/>
          <w:i/>
          <w:sz w:val="22"/>
        </w:rPr>
        <w:t xml:space="preserve"> metrics focusing on detection and tracking scenarios. In addition, further study whether the performance metrics need to be refined.</w:t>
      </w:r>
    </w:p>
    <w:p w14:paraId="3A58B546" w14:textId="77777777" w:rsidR="00EE41DD" w:rsidRPr="00BF4F00" w:rsidRDefault="00EE41DD" w:rsidP="00EE41DD">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2</w:t>
      </w:r>
      <w:r w:rsidRPr="00BF4F00">
        <w:rPr>
          <w:rFonts w:ascii="Calibri" w:eastAsia="바탕" w:hAnsi="Calibri" w:cs="Calibri"/>
          <w:b/>
          <w:i/>
          <w:sz w:val="22"/>
        </w:rPr>
        <w:t xml:space="preserve">: </w:t>
      </w:r>
      <w:r w:rsidRPr="00BF4F00">
        <w:rPr>
          <w:rFonts w:ascii="Calibri" w:eastAsia="바탕" w:hAnsi="Calibri" w:cs="Calibri" w:hint="eastAsia"/>
          <w:i/>
          <w:sz w:val="22"/>
        </w:rPr>
        <w:t>M</w:t>
      </w:r>
      <w:r w:rsidRPr="00BF4F00">
        <w:rPr>
          <w:rFonts w:ascii="Calibri" w:eastAsia="바탕" w:hAnsi="Calibri" w:cs="Calibri"/>
          <w:i/>
          <w:sz w:val="22"/>
        </w:rPr>
        <w:t xml:space="preserve">easurements related to delay, Doppler, and </w:t>
      </w:r>
      <w:r w:rsidRPr="00BF4F00">
        <w:rPr>
          <w:rFonts w:ascii="Calibri" w:eastAsia="바탕" w:hAnsi="Calibri" w:cs="Calibri" w:hint="eastAsia"/>
          <w:i/>
          <w:sz w:val="22"/>
        </w:rPr>
        <w:t>direction</w:t>
      </w:r>
      <w:r w:rsidRPr="00BF4F00">
        <w:rPr>
          <w:rFonts w:ascii="Calibri" w:eastAsia="바탕" w:hAnsi="Calibri" w:cs="Calibri"/>
          <w:i/>
          <w:sz w:val="22"/>
        </w:rPr>
        <w:t xml:space="preserve"> are essential, and </w:t>
      </w:r>
      <w:r w:rsidRPr="00BF4F00">
        <w:rPr>
          <w:rFonts w:ascii="Calibri" w:eastAsia="바탕" w:hAnsi="Calibri" w:cs="Calibri" w:hint="eastAsia"/>
          <w:i/>
          <w:sz w:val="22"/>
        </w:rPr>
        <w:t xml:space="preserve">it </w:t>
      </w:r>
      <w:r w:rsidRPr="00BF4F00">
        <w:rPr>
          <w:rFonts w:ascii="Calibri" w:eastAsia="바탕" w:hAnsi="Calibri" w:cs="Calibri"/>
          <w:i/>
          <w:sz w:val="22"/>
        </w:rPr>
        <w:t>is preferable to report estimated values or measurement</w:t>
      </w:r>
      <w:r w:rsidRPr="00BF4F00">
        <w:rPr>
          <w:rFonts w:ascii="Calibri" w:eastAsia="바탕" w:hAnsi="Calibri" w:cs="Calibri" w:hint="eastAsia"/>
          <w:i/>
          <w:sz w:val="22"/>
        </w:rPr>
        <w:t xml:space="preserve"> results</w:t>
      </w:r>
      <w:r w:rsidRPr="00BF4F00">
        <w:rPr>
          <w:rFonts w:ascii="Calibri" w:eastAsia="바탕" w:hAnsi="Calibri" w:cs="Calibri"/>
          <w:i/>
          <w:sz w:val="22"/>
        </w:rPr>
        <w:t xml:space="preserve"> in time, frequency, </w:t>
      </w:r>
      <w:r w:rsidRPr="00BF4F00">
        <w:rPr>
          <w:rFonts w:ascii="Calibri" w:eastAsia="바탕" w:hAnsi="Calibri" w:cs="Calibri" w:hint="eastAsia"/>
          <w:i/>
          <w:sz w:val="22"/>
        </w:rPr>
        <w:t>and</w:t>
      </w:r>
      <w:r w:rsidRPr="00BF4F00">
        <w:rPr>
          <w:rFonts w:ascii="Calibri" w:eastAsia="바탕" w:hAnsi="Calibri" w:cs="Calibri"/>
          <w:i/>
          <w:sz w:val="22"/>
        </w:rPr>
        <w:t xml:space="preserve"> </w:t>
      </w:r>
      <w:r w:rsidRPr="00BF4F00">
        <w:rPr>
          <w:rFonts w:ascii="Calibri" w:eastAsia="바탕" w:hAnsi="Calibri" w:cs="Calibri" w:hint="eastAsia"/>
          <w:i/>
          <w:sz w:val="22"/>
        </w:rPr>
        <w:t>angle</w:t>
      </w:r>
      <w:r w:rsidRPr="00BF4F00">
        <w:rPr>
          <w:rFonts w:ascii="Calibri" w:eastAsia="바탕" w:hAnsi="Calibri" w:cs="Calibri"/>
          <w:i/>
          <w:sz w:val="22"/>
        </w:rPr>
        <w:t xml:space="preserve"> domains rather than raw data</w:t>
      </w:r>
      <w:r w:rsidRPr="00BF4F00">
        <w:rPr>
          <w:rFonts w:ascii="Calibri" w:eastAsia="바탕" w:hAnsi="Calibri" w:cs="Calibri" w:hint="eastAsia"/>
          <w:i/>
          <w:sz w:val="22"/>
        </w:rPr>
        <w:t xml:space="preserve"> from the perspective of reporting efficiency</w:t>
      </w:r>
      <w:r w:rsidRPr="00BF4F00">
        <w:rPr>
          <w:rFonts w:ascii="Calibri" w:eastAsia="바탕" w:hAnsi="Calibri" w:cs="Calibri"/>
          <w:i/>
          <w:sz w:val="22"/>
        </w:rPr>
        <w:t>.</w:t>
      </w:r>
    </w:p>
    <w:p w14:paraId="43412F8A" w14:textId="77777777" w:rsidR="00EE41DD" w:rsidRPr="00BF4F00" w:rsidRDefault="00EE41DD" w:rsidP="00EE41DD">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3</w:t>
      </w:r>
      <w:r w:rsidRPr="00BF4F00">
        <w:rPr>
          <w:rFonts w:ascii="Calibri" w:eastAsia="바탕" w:hAnsi="Calibri" w:cs="Calibri"/>
          <w:i/>
          <w:sz w:val="22"/>
        </w:rPr>
        <w:t xml:space="preserve">: </w:t>
      </w:r>
      <w:r w:rsidRPr="00BF4F00">
        <w:rPr>
          <w:rFonts w:ascii="Calibri" w:eastAsia="바탕" w:hAnsi="Calibri" w:cs="Calibri" w:hint="eastAsia"/>
          <w:i/>
          <w:sz w:val="22"/>
        </w:rPr>
        <w:t>S</w:t>
      </w:r>
      <w:r w:rsidRPr="00BF4F00">
        <w:rPr>
          <w:rFonts w:ascii="Calibri" w:eastAsia="바탕" w:hAnsi="Calibri" w:cs="Calibri"/>
          <w:i/>
          <w:sz w:val="22"/>
        </w:rPr>
        <w:t>tudy on defining measurement quantities for range, Doppler, and angle, as well as appropriate quantization methods, with a focus on reporting efficiency.</w:t>
      </w:r>
    </w:p>
    <w:p w14:paraId="6D9627C9" w14:textId="77777777" w:rsidR="00EE41DD" w:rsidRPr="00BF4F00" w:rsidRDefault="00EE41DD" w:rsidP="00EE41DD">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sidRPr="00BF4F00">
        <w:rPr>
          <w:rFonts w:ascii="Calibri" w:eastAsia="바탕" w:hAnsi="Calibri" w:cs="Calibri" w:hint="eastAsia"/>
          <w:b/>
          <w:i/>
          <w:sz w:val="22"/>
        </w:rPr>
        <w:t>4</w:t>
      </w:r>
      <w:r w:rsidRPr="00BF4F00">
        <w:rPr>
          <w:rFonts w:ascii="Calibri" w:eastAsia="바탕" w:hAnsi="Calibri" w:cs="Calibri"/>
          <w:i/>
          <w:sz w:val="22"/>
        </w:rPr>
        <w:t xml:space="preserve">: </w:t>
      </w:r>
      <w:r w:rsidRPr="00BF4F00">
        <w:rPr>
          <w:rFonts w:ascii="Calibri" w:eastAsia="바탕" w:hAnsi="Calibri" w:cs="Calibri" w:hint="eastAsia"/>
          <w:i/>
          <w:sz w:val="22"/>
        </w:rPr>
        <w:t>Reuse existing p</w:t>
      </w:r>
      <w:r w:rsidRPr="00BF4F00">
        <w:rPr>
          <w:rFonts w:ascii="Calibri" w:eastAsia="바탕" w:hAnsi="Calibri" w:cs="Calibri"/>
          <w:i/>
          <w:sz w:val="22"/>
        </w:rPr>
        <w:t>ower-related measurement</w:t>
      </w:r>
      <w:r w:rsidRPr="00BF4F00">
        <w:rPr>
          <w:rFonts w:ascii="Calibri" w:eastAsia="바탕" w:hAnsi="Calibri" w:cs="Calibri" w:hint="eastAsia"/>
          <w:i/>
          <w:sz w:val="22"/>
        </w:rPr>
        <w:t xml:space="preserve"> quantities </w:t>
      </w:r>
      <w:r w:rsidRPr="00BF4F00">
        <w:rPr>
          <w:rFonts w:ascii="Calibri" w:eastAsia="바탕" w:hAnsi="Calibri" w:cs="Calibri"/>
          <w:i/>
          <w:sz w:val="22"/>
        </w:rPr>
        <w:t>defined in TS 38.215 for NG-RAN and UE as a baseline</w:t>
      </w:r>
      <w:r w:rsidRPr="00BF4F00">
        <w:rPr>
          <w:rFonts w:ascii="Calibri" w:eastAsia="바탕" w:hAnsi="Calibri" w:cs="Calibri" w:hint="eastAsia"/>
          <w:i/>
          <w:sz w:val="22"/>
        </w:rPr>
        <w:t xml:space="preserve">, and study </w:t>
      </w:r>
      <w:r w:rsidRPr="00BF4F00">
        <w:rPr>
          <w:rFonts w:ascii="Calibri" w:eastAsia="바탕" w:hAnsi="Calibri" w:cs="Calibri"/>
          <w:i/>
          <w:sz w:val="22"/>
        </w:rPr>
        <w:t>necessary modifications to support accurate sensing link monitoring with a focus on detection reliability.</w:t>
      </w:r>
    </w:p>
    <w:p w14:paraId="2732D437" w14:textId="0CB45EDC" w:rsidR="00BF4F00" w:rsidRPr="00DF3B63"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DF3B63">
        <w:rPr>
          <w:rFonts w:ascii="Calibri" w:eastAsia="바탕" w:hAnsi="Calibri" w:cs="Calibri"/>
          <w:b/>
          <w:i/>
          <w:sz w:val="22"/>
        </w:rPr>
        <w:t xml:space="preserve">Proposal </w:t>
      </w:r>
      <w:r w:rsidRPr="00DF3B63">
        <w:rPr>
          <w:rFonts w:ascii="Calibri" w:eastAsia="바탕" w:hAnsi="Calibri" w:cs="Calibri" w:hint="eastAsia"/>
          <w:b/>
          <w:i/>
          <w:sz w:val="22"/>
        </w:rPr>
        <w:t>5</w:t>
      </w:r>
      <w:r w:rsidRPr="00DF3B63">
        <w:rPr>
          <w:rFonts w:ascii="Calibri" w:eastAsia="바탕" w:hAnsi="Calibri" w:cs="Calibri"/>
          <w:i/>
          <w:sz w:val="22"/>
        </w:rPr>
        <w:t>: Study the benefit of reporting the self-interference level between Tx and Rx antenna.</w:t>
      </w:r>
    </w:p>
    <w:p w14:paraId="42C926CC" w14:textId="77777777" w:rsidR="00BF4F00" w:rsidRPr="00757719"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757719">
        <w:rPr>
          <w:rFonts w:ascii="Calibri" w:eastAsia="바탕" w:hAnsi="Calibri" w:cs="Calibri"/>
          <w:b/>
          <w:i/>
          <w:sz w:val="22"/>
        </w:rPr>
        <w:t xml:space="preserve">Proposal </w:t>
      </w:r>
      <w:r w:rsidRPr="00757719">
        <w:rPr>
          <w:rFonts w:ascii="Calibri" w:eastAsia="바탕" w:hAnsi="Calibri" w:cs="Calibri" w:hint="eastAsia"/>
          <w:b/>
          <w:i/>
          <w:sz w:val="22"/>
        </w:rPr>
        <w:t>6</w:t>
      </w:r>
      <w:r w:rsidRPr="00757719">
        <w:rPr>
          <w:rFonts w:ascii="Calibri" w:eastAsia="바탕" w:hAnsi="Calibri" w:cs="Calibri"/>
          <w:i/>
          <w:sz w:val="22"/>
        </w:rPr>
        <w:t>: Only the requested extent of the measurement values can be reported for reporting overhead reduction as well as power saving.</w:t>
      </w:r>
    </w:p>
    <w:p w14:paraId="3FBDF27F" w14:textId="77777777" w:rsidR="00BF4F00" w:rsidRPr="00757719"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757719">
        <w:rPr>
          <w:rFonts w:ascii="Calibri" w:eastAsia="바탕" w:hAnsi="Calibri" w:cs="Calibri"/>
          <w:b/>
          <w:i/>
          <w:sz w:val="22"/>
        </w:rPr>
        <w:lastRenderedPageBreak/>
        <w:t xml:space="preserve">Proposal </w:t>
      </w:r>
      <w:r w:rsidRPr="00757719">
        <w:rPr>
          <w:rFonts w:ascii="Calibri" w:eastAsia="바탕" w:hAnsi="Calibri" w:cs="Calibri" w:hint="eastAsia"/>
          <w:b/>
          <w:i/>
          <w:sz w:val="22"/>
        </w:rPr>
        <w:t>7</w:t>
      </w:r>
      <w:r w:rsidRPr="00757719">
        <w:rPr>
          <w:rFonts w:ascii="Calibri" w:eastAsia="바탕" w:hAnsi="Calibri" w:cs="Calibri"/>
          <w:i/>
          <w:sz w:val="22"/>
        </w:rPr>
        <w:t>: The change between current and past the measurement values can be reported to support mobility in sensing operation.</w:t>
      </w:r>
    </w:p>
    <w:p w14:paraId="27DF01B6" w14:textId="194227AE" w:rsidR="00BF4F00" w:rsidRPr="00757719" w:rsidRDefault="00BF4F00" w:rsidP="00BF4F00">
      <w:pPr>
        <w:wordWrap/>
        <w:adjustRightInd w:val="0"/>
        <w:snapToGrid w:val="0"/>
        <w:spacing w:before="100" w:beforeAutospacing="1" w:after="100" w:afterAutospacing="1" w:line="264" w:lineRule="auto"/>
        <w:rPr>
          <w:rFonts w:ascii="Calibri" w:eastAsia="바탕" w:hAnsi="Calibri" w:cs="Calibri"/>
          <w:i/>
          <w:sz w:val="22"/>
        </w:rPr>
      </w:pPr>
      <w:r w:rsidRPr="00757719">
        <w:rPr>
          <w:rFonts w:ascii="Calibri" w:eastAsia="바탕" w:hAnsi="Calibri" w:cs="Calibri"/>
          <w:b/>
          <w:i/>
          <w:sz w:val="22"/>
        </w:rPr>
        <w:t xml:space="preserve">Proposal </w:t>
      </w:r>
      <w:r w:rsidRPr="00757719">
        <w:rPr>
          <w:rFonts w:ascii="Calibri" w:eastAsia="바탕" w:hAnsi="Calibri" w:cs="Calibri" w:hint="eastAsia"/>
          <w:b/>
          <w:i/>
          <w:sz w:val="22"/>
        </w:rPr>
        <w:t>8</w:t>
      </w:r>
      <w:r w:rsidRPr="00757719">
        <w:rPr>
          <w:rFonts w:ascii="Calibri" w:eastAsia="바탕" w:hAnsi="Calibri" w:cs="Calibri"/>
          <w:i/>
          <w:sz w:val="22"/>
        </w:rPr>
        <w:t>: Reporting of the sensing signal Tx power from BS/TRP to sensing function</w:t>
      </w:r>
      <w:r w:rsidR="00654706">
        <w:rPr>
          <w:rFonts w:ascii="Calibri" w:eastAsia="바탕" w:hAnsi="Calibri" w:cs="Calibri" w:hint="eastAsia"/>
          <w:i/>
          <w:sz w:val="22"/>
        </w:rPr>
        <w:t xml:space="preserve"> </w:t>
      </w:r>
      <w:r w:rsidRPr="00757719">
        <w:rPr>
          <w:rFonts w:ascii="Calibri" w:eastAsia="바탕" w:hAnsi="Calibri" w:cs="Calibri"/>
          <w:i/>
          <w:sz w:val="22"/>
        </w:rPr>
        <w:t>(SF) can be considered.</w:t>
      </w:r>
    </w:p>
    <w:p w14:paraId="5D733EC1" w14:textId="596A9F6C" w:rsidR="00BF4F00" w:rsidRDefault="00BF4F00" w:rsidP="00EE41DD">
      <w:pPr>
        <w:wordWrap/>
        <w:adjustRightInd w:val="0"/>
        <w:snapToGrid w:val="0"/>
        <w:spacing w:before="100" w:beforeAutospacing="1" w:after="100" w:afterAutospacing="1" w:line="264" w:lineRule="auto"/>
        <w:rPr>
          <w:rFonts w:ascii="Calibri" w:eastAsia="바탕" w:hAnsi="Calibri" w:cs="Calibri"/>
          <w:i/>
          <w:sz w:val="22"/>
        </w:rPr>
      </w:pPr>
      <w:r w:rsidRPr="00757719">
        <w:rPr>
          <w:rFonts w:ascii="Calibri" w:eastAsia="바탕" w:hAnsi="Calibri" w:cs="Calibri"/>
          <w:b/>
          <w:i/>
          <w:sz w:val="22"/>
        </w:rPr>
        <w:t xml:space="preserve">Proposal </w:t>
      </w:r>
      <w:r w:rsidRPr="00757719">
        <w:rPr>
          <w:rFonts w:ascii="Calibri" w:eastAsia="바탕" w:hAnsi="Calibri" w:cs="Calibri" w:hint="eastAsia"/>
          <w:b/>
          <w:i/>
          <w:sz w:val="22"/>
        </w:rPr>
        <w:t>9</w:t>
      </w:r>
      <w:r w:rsidRPr="00757719">
        <w:rPr>
          <w:rFonts w:ascii="Calibri" w:eastAsia="바탕" w:hAnsi="Calibri" w:cs="Calibri"/>
          <w:i/>
          <w:sz w:val="22"/>
        </w:rPr>
        <w:t>: Study what information related to the measurement needs to be additionally reported.</w:t>
      </w:r>
    </w:p>
    <w:p w14:paraId="466C593D" w14:textId="493C6F19" w:rsidR="00543C93" w:rsidRPr="00BF4F00" w:rsidRDefault="00543C93" w:rsidP="00543C93">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Pr>
          <w:rFonts w:ascii="Calibri" w:eastAsia="바탕" w:hAnsi="Calibri" w:cs="Calibri" w:hint="eastAsia"/>
          <w:b/>
          <w:i/>
          <w:sz w:val="22"/>
        </w:rPr>
        <w:t>10</w:t>
      </w:r>
      <w:r w:rsidRPr="00BF4F00">
        <w:rPr>
          <w:rFonts w:ascii="Calibri" w:eastAsia="바탕" w:hAnsi="Calibri" w:cs="Calibri" w:hint="eastAsia"/>
          <w:b/>
          <w:i/>
          <w:sz w:val="22"/>
        </w:rPr>
        <w:t>:</w:t>
      </w:r>
      <w:r w:rsidRPr="00BF4F00">
        <w:rPr>
          <w:rFonts w:ascii="Calibri" w:eastAsia="바탕" w:hAnsi="Calibri" w:cs="Calibri"/>
          <w:i/>
          <w:sz w:val="22"/>
        </w:rPr>
        <w:t xml:space="preserve"> To ensure compatibility and evaluation efficiency</w:t>
      </w:r>
      <w:r w:rsidRPr="00BF4F00">
        <w:rPr>
          <w:rFonts w:ascii="Calibri" w:eastAsia="바탕" w:hAnsi="Calibri" w:cs="Calibri" w:hint="eastAsia"/>
          <w:i/>
          <w:sz w:val="22"/>
        </w:rPr>
        <w:t>, e</w:t>
      </w:r>
      <w:r w:rsidRPr="00BF4F00">
        <w:rPr>
          <w:rFonts w:ascii="Calibri" w:eastAsia="바탕" w:hAnsi="Calibri" w:cs="Calibri"/>
          <w:i/>
          <w:sz w:val="22"/>
        </w:rPr>
        <w:t>xisting NR waveforms and signals should be reused without introducing new ones, at least for 5G-A ISAC evaluation.</w:t>
      </w:r>
    </w:p>
    <w:p w14:paraId="45A84A9B" w14:textId="2194F36E" w:rsidR="00543C93" w:rsidRDefault="00543C93" w:rsidP="00543C93">
      <w:pPr>
        <w:wordWrap/>
        <w:adjustRightInd w:val="0"/>
        <w:snapToGrid w:val="0"/>
        <w:spacing w:before="100" w:beforeAutospacing="1" w:after="100" w:afterAutospacing="1" w:line="264" w:lineRule="auto"/>
        <w:rPr>
          <w:rFonts w:ascii="Calibri" w:eastAsia="바탕" w:hAnsi="Calibri" w:cs="Calibri"/>
          <w:i/>
          <w:sz w:val="22"/>
        </w:rPr>
      </w:pPr>
      <w:r w:rsidRPr="00BF4F00">
        <w:rPr>
          <w:rFonts w:ascii="Calibri" w:eastAsia="바탕" w:hAnsi="Calibri" w:cs="Calibri"/>
          <w:b/>
          <w:i/>
          <w:sz w:val="22"/>
        </w:rPr>
        <w:t xml:space="preserve">Proposal </w:t>
      </w:r>
      <w:r>
        <w:rPr>
          <w:rFonts w:ascii="Calibri" w:eastAsia="바탕" w:hAnsi="Calibri" w:cs="Calibri" w:hint="eastAsia"/>
          <w:b/>
          <w:i/>
          <w:sz w:val="22"/>
        </w:rPr>
        <w:t>11</w:t>
      </w:r>
      <w:r w:rsidRPr="00BF4F00">
        <w:rPr>
          <w:rFonts w:ascii="Calibri" w:eastAsia="바탕" w:hAnsi="Calibri" w:cs="Calibri" w:hint="eastAsia"/>
          <w:b/>
          <w:i/>
          <w:sz w:val="22"/>
        </w:rPr>
        <w:t>:</w:t>
      </w:r>
      <w:r w:rsidRPr="00BF4F00">
        <w:rPr>
          <w:rFonts w:ascii="Calibri" w:eastAsia="바탕" w:hAnsi="Calibri" w:cs="Calibri" w:hint="eastAsia"/>
          <w:i/>
          <w:sz w:val="22"/>
        </w:rPr>
        <w:t xml:space="preserve"> </w:t>
      </w:r>
      <w:r w:rsidRPr="00BF4F00">
        <w:rPr>
          <w:rFonts w:ascii="Calibri" w:eastAsia="바탕" w:hAnsi="Calibri" w:cs="Calibri"/>
          <w:i/>
          <w:sz w:val="22"/>
        </w:rPr>
        <w:t>To streamline the effort required for performance evaluation</w:t>
      </w:r>
      <w:r w:rsidRPr="00BF4F00">
        <w:rPr>
          <w:rFonts w:ascii="Calibri" w:eastAsia="바탕" w:hAnsi="Calibri" w:cs="Calibri" w:hint="eastAsia"/>
          <w:i/>
          <w:sz w:val="22"/>
        </w:rPr>
        <w:t xml:space="preserve"> of 5G-A ISAC systems</w:t>
      </w:r>
      <w:r w:rsidRPr="00BF4F00">
        <w:rPr>
          <w:rFonts w:ascii="Calibri" w:eastAsia="바탕" w:hAnsi="Calibri" w:cs="Calibri"/>
          <w:i/>
          <w:sz w:val="22"/>
        </w:rPr>
        <w:t xml:space="preserve">, we </w:t>
      </w:r>
      <w:r w:rsidRPr="00BF4F00">
        <w:rPr>
          <w:rFonts w:ascii="Calibri" w:eastAsia="바탕" w:hAnsi="Calibri" w:cs="Calibri" w:hint="eastAsia"/>
          <w:i/>
          <w:sz w:val="22"/>
        </w:rPr>
        <w:t>prefer</w:t>
      </w:r>
      <w:r w:rsidRPr="00BF4F00">
        <w:rPr>
          <w:rFonts w:ascii="Calibri" w:eastAsia="바탕" w:hAnsi="Calibri" w:cs="Calibri"/>
          <w:i/>
          <w:sz w:val="22"/>
        </w:rPr>
        <w:t xml:space="preserve"> limiting the scope to representative scenarios</w:t>
      </w:r>
      <w:r w:rsidRPr="00BF4F00">
        <w:rPr>
          <w:rFonts w:ascii="Calibri" w:eastAsia="바탕" w:hAnsi="Calibri" w:cs="Calibri" w:hint="eastAsia"/>
          <w:i/>
          <w:sz w:val="22"/>
        </w:rPr>
        <w:t xml:space="preserve"> and </w:t>
      </w:r>
      <w:r w:rsidRPr="00BF4F00">
        <w:rPr>
          <w:rFonts w:ascii="Calibri" w:eastAsia="바탕" w:hAnsi="Calibri" w:cs="Calibri"/>
          <w:i/>
          <w:sz w:val="22"/>
        </w:rPr>
        <w:t>simplifying</w:t>
      </w:r>
      <w:r w:rsidRPr="00BF4F00">
        <w:rPr>
          <w:rFonts w:ascii="Calibri" w:eastAsia="바탕" w:hAnsi="Calibri" w:cs="Calibri" w:hint="eastAsia"/>
          <w:i/>
          <w:sz w:val="22"/>
        </w:rPr>
        <w:t xml:space="preserve"> the evaluation parameters for evaluation simplicity, </w:t>
      </w:r>
      <w:r w:rsidRPr="00BF4F00">
        <w:rPr>
          <w:rFonts w:ascii="Calibri" w:eastAsia="바탕" w:hAnsi="Calibri" w:cs="Calibri"/>
          <w:i/>
          <w:sz w:val="22"/>
        </w:rPr>
        <w:t xml:space="preserve">using </w:t>
      </w:r>
      <w:r w:rsidRPr="00BF4F00">
        <w:rPr>
          <w:rFonts w:ascii="Calibri" w:eastAsia="바탕" w:hAnsi="Calibri" w:cs="Calibri" w:hint="eastAsia"/>
          <w:i/>
          <w:sz w:val="22"/>
        </w:rPr>
        <w:t>current simulation assumptions</w:t>
      </w:r>
      <w:r w:rsidRPr="00BF4F00">
        <w:rPr>
          <w:rFonts w:ascii="Calibri" w:eastAsia="바탕" w:hAnsi="Calibri" w:cs="Calibri"/>
          <w:i/>
          <w:sz w:val="22"/>
        </w:rPr>
        <w:t xml:space="preserve"> as a </w:t>
      </w:r>
      <w:r w:rsidRPr="00BF4F00">
        <w:rPr>
          <w:rFonts w:ascii="Calibri" w:eastAsia="바탕" w:hAnsi="Calibri" w:cs="Calibri" w:hint="eastAsia"/>
          <w:i/>
          <w:sz w:val="22"/>
        </w:rPr>
        <w:t>baseline</w:t>
      </w:r>
      <w:r w:rsidRPr="00BF4F00">
        <w:rPr>
          <w:rFonts w:ascii="Calibri" w:eastAsia="바탕" w:hAnsi="Calibri" w:cs="Calibri"/>
          <w:i/>
          <w:sz w:val="22"/>
        </w:rPr>
        <w:t>.</w:t>
      </w:r>
    </w:p>
    <w:p w14:paraId="72978A46" w14:textId="77777777" w:rsidR="00BF4F00" w:rsidRPr="00DF3B63" w:rsidRDefault="00BF4F00" w:rsidP="00EE41DD">
      <w:pPr>
        <w:wordWrap/>
        <w:adjustRightInd w:val="0"/>
        <w:snapToGrid w:val="0"/>
        <w:spacing w:before="100" w:beforeAutospacing="1" w:after="100" w:afterAutospacing="1" w:line="264" w:lineRule="auto"/>
        <w:rPr>
          <w:rFonts w:ascii="Calibri" w:eastAsia="바탕" w:hAnsi="Calibri" w:cs="Calibri"/>
          <w:i/>
          <w:sz w:val="22"/>
        </w:rPr>
      </w:pPr>
    </w:p>
    <w:p w14:paraId="33939488" w14:textId="77777777" w:rsidR="00204C5F" w:rsidRPr="00BF4F00" w:rsidRDefault="00204C5F"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BF4F00">
        <w:rPr>
          <w:rFonts w:ascii="Arial" w:eastAsia="바탕" w:hAnsi="Arial" w:cs="Arial"/>
          <w:kern w:val="0"/>
          <w:sz w:val="32"/>
          <w:szCs w:val="28"/>
        </w:rPr>
        <w:t>References</w:t>
      </w:r>
    </w:p>
    <w:p w14:paraId="3FB5E8FE" w14:textId="0DE80074" w:rsidR="00204C5F" w:rsidRPr="00B32F2F" w:rsidRDefault="006444B5" w:rsidP="00D115FD">
      <w:pPr>
        <w:numPr>
          <w:ilvl w:val="0"/>
          <w:numId w:val="22"/>
        </w:numPr>
        <w:wordWrap/>
        <w:adjustRightInd w:val="0"/>
        <w:snapToGrid w:val="0"/>
        <w:spacing w:before="100" w:beforeAutospacing="1" w:after="100" w:afterAutospacing="1" w:line="264" w:lineRule="auto"/>
        <w:rPr>
          <w:rFonts w:ascii="Calibri" w:hAnsi="Calibri" w:cs="Calibri"/>
          <w:sz w:val="22"/>
          <w:szCs w:val="24"/>
        </w:rPr>
      </w:pPr>
      <w:bookmarkStart w:id="3" w:name="_Ref178611582"/>
      <w:bookmarkStart w:id="4" w:name="_Ref158808928"/>
      <w:bookmarkStart w:id="5" w:name="_Ref162894229"/>
      <w:bookmarkStart w:id="6" w:name="_Ref158807592"/>
      <w:r w:rsidRPr="00BF4F00">
        <w:rPr>
          <w:rFonts w:ascii="Calibri" w:hAnsi="Calibri" w:cs="Calibri"/>
          <w:sz w:val="22"/>
          <w:szCs w:val="24"/>
        </w:rPr>
        <w:t>Service requirements for Integrated Sensing and Communication Stage 1, 3GPP, TS 22.137</w:t>
      </w:r>
      <w:r w:rsidR="00204C5F" w:rsidRPr="00B32F2F">
        <w:rPr>
          <w:rFonts w:ascii="Calibri" w:hAnsi="Calibri" w:cs="Calibri"/>
          <w:sz w:val="22"/>
          <w:szCs w:val="24"/>
        </w:rPr>
        <w:t>.</w:t>
      </w:r>
      <w:bookmarkEnd w:id="3"/>
    </w:p>
    <w:bookmarkEnd w:id="4"/>
    <w:bookmarkEnd w:id="5"/>
    <w:bookmarkEnd w:id="6"/>
    <w:p w14:paraId="747B9ECF" w14:textId="446059E3" w:rsidR="00FF67DC" w:rsidRPr="00B32F2F" w:rsidRDefault="006444B5" w:rsidP="00FF67DC">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BF4F00">
        <w:rPr>
          <w:rFonts w:ascii="Calibri" w:hAnsi="Calibri" w:cs="Calibri"/>
          <w:sz w:val="22"/>
          <w:szCs w:val="24"/>
        </w:rPr>
        <w:t>5G NR Physical layer measurements, 3GPP TS 38.215.</w:t>
      </w:r>
    </w:p>
    <w:sectPr w:rsidR="00FF67DC" w:rsidRPr="00B32F2F" w:rsidSect="00C109EC">
      <w:footerReference w:type="even" r:id="rId11"/>
      <w:footerReference w:type="default" r:id="rId12"/>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FF181" w14:textId="77777777" w:rsidR="00C37E23" w:rsidRDefault="00C37E23">
      <w:pPr>
        <w:spacing w:after="0" w:line="240" w:lineRule="auto"/>
      </w:pPr>
      <w:r>
        <w:separator/>
      </w:r>
    </w:p>
  </w:endnote>
  <w:endnote w:type="continuationSeparator" w:id="0">
    <w:p w14:paraId="16F0FFAF" w14:textId="77777777" w:rsidR="00C37E23" w:rsidRDefault="00C37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Arial Unicode MS"/>
    <w:charset w:val="81"/>
    <w:family w:val="auto"/>
    <w:pitch w:val="variable"/>
    <w:sig w:usb0="00000000" w:usb1="09D7FCE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50667" w14:textId="75CEC023"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32B6A">
      <w:rPr>
        <w:rStyle w:val="a8"/>
        <w:noProof/>
      </w:rPr>
      <w:t>2</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9F7F1" w14:textId="77777777" w:rsidR="00C37E23" w:rsidRDefault="00C37E23">
      <w:pPr>
        <w:spacing w:after="0" w:line="240" w:lineRule="auto"/>
      </w:pPr>
      <w:r>
        <w:separator/>
      </w:r>
    </w:p>
  </w:footnote>
  <w:footnote w:type="continuationSeparator" w:id="0">
    <w:p w14:paraId="42FD6772" w14:textId="77777777" w:rsidR="00C37E23" w:rsidRDefault="00C37E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3"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6"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0"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24"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26"/>
  </w:num>
  <w:num w:numId="3">
    <w:abstractNumId w:val="29"/>
  </w:num>
  <w:num w:numId="4">
    <w:abstractNumId w:val="12"/>
  </w:num>
  <w:num w:numId="5">
    <w:abstractNumId w:val="20"/>
  </w:num>
  <w:num w:numId="6">
    <w:abstractNumId w:val="11"/>
  </w:num>
  <w:num w:numId="7">
    <w:abstractNumId w:val="13"/>
  </w:num>
  <w:num w:numId="8">
    <w:abstractNumId w:val="24"/>
  </w:num>
  <w:num w:numId="9">
    <w:abstractNumId w:val="27"/>
  </w:num>
  <w:num w:numId="10">
    <w:abstractNumId w:val="14"/>
  </w:num>
  <w:num w:numId="11">
    <w:abstractNumId w:val="0"/>
  </w:num>
  <w:num w:numId="12">
    <w:abstractNumId w:val="3"/>
  </w:num>
  <w:num w:numId="13">
    <w:abstractNumId w:val="15"/>
  </w:num>
  <w:num w:numId="14">
    <w:abstractNumId w:val="21"/>
  </w:num>
  <w:num w:numId="15">
    <w:abstractNumId w:val="16"/>
  </w:num>
  <w:num w:numId="16">
    <w:abstractNumId w:val="18"/>
  </w:num>
  <w:num w:numId="17">
    <w:abstractNumId w:val="4"/>
  </w:num>
  <w:num w:numId="18">
    <w:abstractNumId w:val="8"/>
  </w:num>
  <w:num w:numId="19">
    <w:abstractNumId w:val="23"/>
  </w:num>
  <w:num w:numId="20">
    <w:abstractNumId w:val="9"/>
  </w:num>
  <w:num w:numId="21">
    <w:abstractNumId w:val="1"/>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2"/>
  </w:num>
  <w:num w:numId="25">
    <w:abstractNumId w:val="19"/>
  </w:num>
  <w:num w:numId="26">
    <w:abstractNumId w:val="17"/>
    <w:lvlOverride w:ilvl="0">
      <w:startOverride w:val="1"/>
    </w:lvlOverride>
  </w:num>
  <w:num w:numId="27">
    <w:abstractNumId w:val="30"/>
  </w:num>
  <w:num w:numId="28">
    <w:abstractNumId w:val="6"/>
  </w:num>
  <w:num w:numId="29">
    <w:abstractNumId w:val="2"/>
  </w:num>
  <w:num w:numId="30">
    <w:abstractNumId w:val="5"/>
  </w:num>
  <w:num w:numId="3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6DB"/>
    <w:rsid w:val="00012AF7"/>
    <w:rsid w:val="00012E47"/>
    <w:rsid w:val="00014FEE"/>
    <w:rsid w:val="0001527A"/>
    <w:rsid w:val="00015F86"/>
    <w:rsid w:val="000160E9"/>
    <w:rsid w:val="000177C1"/>
    <w:rsid w:val="00017DE3"/>
    <w:rsid w:val="0002159A"/>
    <w:rsid w:val="00024AF2"/>
    <w:rsid w:val="000254D1"/>
    <w:rsid w:val="00025CC1"/>
    <w:rsid w:val="00026303"/>
    <w:rsid w:val="00027F8B"/>
    <w:rsid w:val="000305CF"/>
    <w:rsid w:val="00030AF3"/>
    <w:rsid w:val="00032B8D"/>
    <w:rsid w:val="00033606"/>
    <w:rsid w:val="0003370A"/>
    <w:rsid w:val="00033CE7"/>
    <w:rsid w:val="00034C7F"/>
    <w:rsid w:val="000353B5"/>
    <w:rsid w:val="00035A25"/>
    <w:rsid w:val="00035E88"/>
    <w:rsid w:val="00036196"/>
    <w:rsid w:val="00036296"/>
    <w:rsid w:val="0003630A"/>
    <w:rsid w:val="000365EE"/>
    <w:rsid w:val="00036CF8"/>
    <w:rsid w:val="0003719A"/>
    <w:rsid w:val="00037AA7"/>
    <w:rsid w:val="00037C44"/>
    <w:rsid w:val="0004178B"/>
    <w:rsid w:val="000422DC"/>
    <w:rsid w:val="000432F5"/>
    <w:rsid w:val="000434FA"/>
    <w:rsid w:val="00043771"/>
    <w:rsid w:val="000441FA"/>
    <w:rsid w:val="0004498A"/>
    <w:rsid w:val="00045D6E"/>
    <w:rsid w:val="00045D9A"/>
    <w:rsid w:val="00046E12"/>
    <w:rsid w:val="00047D63"/>
    <w:rsid w:val="0005020C"/>
    <w:rsid w:val="00051ED0"/>
    <w:rsid w:val="00052C6D"/>
    <w:rsid w:val="00054B75"/>
    <w:rsid w:val="00055402"/>
    <w:rsid w:val="00056AE2"/>
    <w:rsid w:val="00056E6A"/>
    <w:rsid w:val="00061AF0"/>
    <w:rsid w:val="00062917"/>
    <w:rsid w:val="00063A4B"/>
    <w:rsid w:val="0006476A"/>
    <w:rsid w:val="00064C36"/>
    <w:rsid w:val="00064E0D"/>
    <w:rsid w:val="0006531D"/>
    <w:rsid w:val="000657A8"/>
    <w:rsid w:val="00065CE5"/>
    <w:rsid w:val="000709A6"/>
    <w:rsid w:val="000718BF"/>
    <w:rsid w:val="000735EC"/>
    <w:rsid w:val="00073773"/>
    <w:rsid w:val="00074A17"/>
    <w:rsid w:val="00077054"/>
    <w:rsid w:val="00081D13"/>
    <w:rsid w:val="00082180"/>
    <w:rsid w:val="00083665"/>
    <w:rsid w:val="00083994"/>
    <w:rsid w:val="000846F8"/>
    <w:rsid w:val="0008578C"/>
    <w:rsid w:val="000857C9"/>
    <w:rsid w:val="00086D59"/>
    <w:rsid w:val="000877F6"/>
    <w:rsid w:val="00090593"/>
    <w:rsid w:val="0009292C"/>
    <w:rsid w:val="00092A60"/>
    <w:rsid w:val="00094262"/>
    <w:rsid w:val="00095284"/>
    <w:rsid w:val="00095FF1"/>
    <w:rsid w:val="000979EF"/>
    <w:rsid w:val="000A1EAA"/>
    <w:rsid w:val="000A39FA"/>
    <w:rsid w:val="000A3E1C"/>
    <w:rsid w:val="000A502D"/>
    <w:rsid w:val="000A5E96"/>
    <w:rsid w:val="000A628A"/>
    <w:rsid w:val="000A68D8"/>
    <w:rsid w:val="000A71EC"/>
    <w:rsid w:val="000B0049"/>
    <w:rsid w:val="000B188A"/>
    <w:rsid w:val="000B43D7"/>
    <w:rsid w:val="000B5997"/>
    <w:rsid w:val="000B6236"/>
    <w:rsid w:val="000B6C4E"/>
    <w:rsid w:val="000B6EDE"/>
    <w:rsid w:val="000B745A"/>
    <w:rsid w:val="000B7DFD"/>
    <w:rsid w:val="000B7F44"/>
    <w:rsid w:val="000C065E"/>
    <w:rsid w:val="000C0A9E"/>
    <w:rsid w:val="000C0DC8"/>
    <w:rsid w:val="000C181A"/>
    <w:rsid w:val="000C1ABE"/>
    <w:rsid w:val="000C2048"/>
    <w:rsid w:val="000C2285"/>
    <w:rsid w:val="000C38FF"/>
    <w:rsid w:val="000C412D"/>
    <w:rsid w:val="000C41F4"/>
    <w:rsid w:val="000C503C"/>
    <w:rsid w:val="000C5846"/>
    <w:rsid w:val="000C5C3F"/>
    <w:rsid w:val="000C5C7C"/>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366D"/>
    <w:rsid w:val="000E3E29"/>
    <w:rsid w:val="000E4335"/>
    <w:rsid w:val="000E4555"/>
    <w:rsid w:val="000E46EB"/>
    <w:rsid w:val="000E54EA"/>
    <w:rsid w:val="000E599B"/>
    <w:rsid w:val="000E5A69"/>
    <w:rsid w:val="000E6C6B"/>
    <w:rsid w:val="000F10A4"/>
    <w:rsid w:val="000F10CF"/>
    <w:rsid w:val="000F1A0A"/>
    <w:rsid w:val="000F2630"/>
    <w:rsid w:val="000F2725"/>
    <w:rsid w:val="000F31FB"/>
    <w:rsid w:val="000F3C90"/>
    <w:rsid w:val="000F48CC"/>
    <w:rsid w:val="000F4C83"/>
    <w:rsid w:val="000F6A0C"/>
    <w:rsid w:val="000F7689"/>
    <w:rsid w:val="000F7E1D"/>
    <w:rsid w:val="00100197"/>
    <w:rsid w:val="00100590"/>
    <w:rsid w:val="00102B4D"/>
    <w:rsid w:val="00104293"/>
    <w:rsid w:val="001048DE"/>
    <w:rsid w:val="001056F2"/>
    <w:rsid w:val="00105859"/>
    <w:rsid w:val="001075DD"/>
    <w:rsid w:val="0011293C"/>
    <w:rsid w:val="00112DC3"/>
    <w:rsid w:val="00113367"/>
    <w:rsid w:val="001151F9"/>
    <w:rsid w:val="001158AF"/>
    <w:rsid w:val="0011634A"/>
    <w:rsid w:val="00116BC8"/>
    <w:rsid w:val="00116DD3"/>
    <w:rsid w:val="00117EC5"/>
    <w:rsid w:val="001206CA"/>
    <w:rsid w:val="00122322"/>
    <w:rsid w:val="00124560"/>
    <w:rsid w:val="001268E3"/>
    <w:rsid w:val="00130344"/>
    <w:rsid w:val="001305DE"/>
    <w:rsid w:val="0013097A"/>
    <w:rsid w:val="00130B02"/>
    <w:rsid w:val="00131B6F"/>
    <w:rsid w:val="001323EA"/>
    <w:rsid w:val="001324E2"/>
    <w:rsid w:val="00132B6A"/>
    <w:rsid w:val="00132CF3"/>
    <w:rsid w:val="00134266"/>
    <w:rsid w:val="0013514B"/>
    <w:rsid w:val="001351A0"/>
    <w:rsid w:val="00135811"/>
    <w:rsid w:val="00135E21"/>
    <w:rsid w:val="00136AD7"/>
    <w:rsid w:val="00136DB8"/>
    <w:rsid w:val="00137B89"/>
    <w:rsid w:val="00140BFE"/>
    <w:rsid w:val="001423F0"/>
    <w:rsid w:val="0014360D"/>
    <w:rsid w:val="0014440F"/>
    <w:rsid w:val="00144ABF"/>
    <w:rsid w:val="00146B29"/>
    <w:rsid w:val="001477D7"/>
    <w:rsid w:val="0015004D"/>
    <w:rsid w:val="0015086C"/>
    <w:rsid w:val="00152BE0"/>
    <w:rsid w:val="0015303A"/>
    <w:rsid w:val="00153E33"/>
    <w:rsid w:val="00154158"/>
    <w:rsid w:val="00154529"/>
    <w:rsid w:val="0015515C"/>
    <w:rsid w:val="00155D57"/>
    <w:rsid w:val="0015619D"/>
    <w:rsid w:val="0015638B"/>
    <w:rsid w:val="00157726"/>
    <w:rsid w:val="00157854"/>
    <w:rsid w:val="00160281"/>
    <w:rsid w:val="00160387"/>
    <w:rsid w:val="00164E27"/>
    <w:rsid w:val="00166771"/>
    <w:rsid w:val="001671A5"/>
    <w:rsid w:val="00167212"/>
    <w:rsid w:val="001675BE"/>
    <w:rsid w:val="00172121"/>
    <w:rsid w:val="00174CD6"/>
    <w:rsid w:val="001776A4"/>
    <w:rsid w:val="00177A1F"/>
    <w:rsid w:val="001809B4"/>
    <w:rsid w:val="00180F4C"/>
    <w:rsid w:val="0018131F"/>
    <w:rsid w:val="001816BF"/>
    <w:rsid w:val="001818E1"/>
    <w:rsid w:val="00181CF0"/>
    <w:rsid w:val="00182697"/>
    <w:rsid w:val="001841A1"/>
    <w:rsid w:val="0018432F"/>
    <w:rsid w:val="001846BF"/>
    <w:rsid w:val="00184D1E"/>
    <w:rsid w:val="00186657"/>
    <w:rsid w:val="00187B3C"/>
    <w:rsid w:val="00187BF7"/>
    <w:rsid w:val="001942E8"/>
    <w:rsid w:val="00194AD9"/>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5814"/>
    <w:rsid w:val="001A658C"/>
    <w:rsid w:val="001B062D"/>
    <w:rsid w:val="001B0873"/>
    <w:rsid w:val="001B11AB"/>
    <w:rsid w:val="001B14CC"/>
    <w:rsid w:val="001B2B16"/>
    <w:rsid w:val="001B45D4"/>
    <w:rsid w:val="001B4FA4"/>
    <w:rsid w:val="001B4FE0"/>
    <w:rsid w:val="001B7B3D"/>
    <w:rsid w:val="001B7FCC"/>
    <w:rsid w:val="001C0D87"/>
    <w:rsid w:val="001C1659"/>
    <w:rsid w:val="001C3114"/>
    <w:rsid w:val="001C4112"/>
    <w:rsid w:val="001C4B20"/>
    <w:rsid w:val="001C5EE6"/>
    <w:rsid w:val="001C6241"/>
    <w:rsid w:val="001C7E6C"/>
    <w:rsid w:val="001D0092"/>
    <w:rsid w:val="001D0485"/>
    <w:rsid w:val="001D120D"/>
    <w:rsid w:val="001D1916"/>
    <w:rsid w:val="001D1F50"/>
    <w:rsid w:val="001D243C"/>
    <w:rsid w:val="001D2EA5"/>
    <w:rsid w:val="001D32B3"/>
    <w:rsid w:val="001D40A9"/>
    <w:rsid w:val="001D68EB"/>
    <w:rsid w:val="001D6C45"/>
    <w:rsid w:val="001E0BF5"/>
    <w:rsid w:val="001E10DC"/>
    <w:rsid w:val="001E2B10"/>
    <w:rsid w:val="001E5925"/>
    <w:rsid w:val="001E72ED"/>
    <w:rsid w:val="001F0257"/>
    <w:rsid w:val="001F089E"/>
    <w:rsid w:val="001F0CB0"/>
    <w:rsid w:val="001F165B"/>
    <w:rsid w:val="001F1717"/>
    <w:rsid w:val="001F64B2"/>
    <w:rsid w:val="001F6D28"/>
    <w:rsid w:val="001F73D0"/>
    <w:rsid w:val="001F76A7"/>
    <w:rsid w:val="001F7F1D"/>
    <w:rsid w:val="0020176F"/>
    <w:rsid w:val="00202D71"/>
    <w:rsid w:val="00203C7E"/>
    <w:rsid w:val="00203DAA"/>
    <w:rsid w:val="00203EE1"/>
    <w:rsid w:val="002042B4"/>
    <w:rsid w:val="00204500"/>
    <w:rsid w:val="00204C5F"/>
    <w:rsid w:val="00205CE2"/>
    <w:rsid w:val="00205EC8"/>
    <w:rsid w:val="0020764B"/>
    <w:rsid w:val="00210158"/>
    <w:rsid w:val="002119BE"/>
    <w:rsid w:val="00211CB5"/>
    <w:rsid w:val="00211CFB"/>
    <w:rsid w:val="00213A37"/>
    <w:rsid w:val="00213CEF"/>
    <w:rsid w:val="00213D42"/>
    <w:rsid w:val="00214925"/>
    <w:rsid w:val="00214E3E"/>
    <w:rsid w:val="00215263"/>
    <w:rsid w:val="00215BD2"/>
    <w:rsid w:val="002162C9"/>
    <w:rsid w:val="0021640D"/>
    <w:rsid w:val="00217826"/>
    <w:rsid w:val="00217F12"/>
    <w:rsid w:val="0022215F"/>
    <w:rsid w:val="00222578"/>
    <w:rsid w:val="00223A23"/>
    <w:rsid w:val="00223E11"/>
    <w:rsid w:val="00224048"/>
    <w:rsid w:val="002251DE"/>
    <w:rsid w:val="0022522E"/>
    <w:rsid w:val="00225504"/>
    <w:rsid w:val="00227272"/>
    <w:rsid w:val="00227414"/>
    <w:rsid w:val="002304E0"/>
    <w:rsid w:val="00231D6D"/>
    <w:rsid w:val="002324CC"/>
    <w:rsid w:val="0023268E"/>
    <w:rsid w:val="0023548B"/>
    <w:rsid w:val="002358AA"/>
    <w:rsid w:val="00235DC8"/>
    <w:rsid w:val="00237BDA"/>
    <w:rsid w:val="002400AB"/>
    <w:rsid w:val="002406D6"/>
    <w:rsid w:val="00241181"/>
    <w:rsid w:val="002416CC"/>
    <w:rsid w:val="00241B6F"/>
    <w:rsid w:val="0024216D"/>
    <w:rsid w:val="00242373"/>
    <w:rsid w:val="00243B57"/>
    <w:rsid w:val="002442F8"/>
    <w:rsid w:val="00245B93"/>
    <w:rsid w:val="00247298"/>
    <w:rsid w:val="002508C2"/>
    <w:rsid w:val="002509F9"/>
    <w:rsid w:val="00250CC3"/>
    <w:rsid w:val="00251EE9"/>
    <w:rsid w:val="002530CC"/>
    <w:rsid w:val="002553FD"/>
    <w:rsid w:val="002557FE"/>
    <w:rsid w:val="002558F0"/>
    <w:rsid w:val="00255AE3"/>
    <w:rsid w:val="00256E76"/>
    <w:rsid w:val="002626CE"/>
    <w:rsid w:val="00263966"/>
    <w:rsid w:val="00263BAB"/>
    <w:rsid w:val="0026615E"/>
    <w:rsid w:val="002665A6"/>
    <w:rsid w:val="00267807"/>
    <w:rsid w:val="00267DE1"/>
    <w:rsid w:val="002703AA"/>
    <w:rsid w:val="002711B8"/>
    <w:rsid w:val="00272083"/>
    <w:rsid w:val="002722A5"/>
    <w:rsid w:val="002730D8"/>
    <w:rsid w:val="002743C6"/>
    <w:rsid w:val="002758FA"/>
    <w:rsid w:val="00276D45"/>
    <w:rsid w:val="00276D94"/>
    <w:rsid w:val="002771D1"/>
    <w:rsid w:val="00277763"/>
    <w:rsid w:val="00277FD5"/>
    <w:rsid w:val="002800D5"/>
    <w:rsid w:val="002808C4"/>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96ACB"/>
    <w:rsid w:val="00296B40"/>
    <w:rsid w:val="0029750B"/>
    <w:rsid w:val="002A0161"/>
    <w:rsid w:val="002A0C3E"/>
    <w:rsid w:val="002A1ED8"/>
    <w:rsid w:val="002A2545"/>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0131"/>
    <w:rsid w:val="002C2226"/>
    <w:rsid w:val="002C29BD"/>
    <w:rsid w:val="002C3029"/>
    <w:rsid w:val="002C3EFC"/>
    <w:rsid w:val="002C4957"/>
    <w:rsid w:val="002C4F72"/>
    <w:rsid w:val="002C62ED"/>
    <w:rsid w:val="002C7196"/>
    <w:rsid w:val="002C7A1B"/>
    <w:rsid w:val="002C7CC8"/>
    <w:rsid w:val="002C7D90"/>
    <w:rsid w:val="002D0758"/>
    <w:rsid w:val="002D316A"/>
    <w:rsid w:val="002D3283"/>
    <w:rsid w:val="002D3DE8"/>
    <w:rsid w:val="002D3F79"/>
    <w:rsid w:val="002D3FE8"/>
    <w:rsid w:val="002D66C8"/>
    <w:rsid w:val="002D71A9"/>
    <w:rsid w:val="002D7AD6"/>
    <w:rsid w:val="002E036C"/>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3898"/>
    <w:rsid w:val="00304345"/>
    <w:rsid w:val="00304F5B"/>
    <w:rsid w:val="00305818"/>
    <w:rsid w:val="00305F28"/>
    <w:rsid w:val="003061C7"/>
    <w:rsid w:val="003076B7"/>
    <w:rsid w:val="00307F0A"/>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276FB"/>
    <w:rsid w:val="0033155A"/>
    <w:rsid w:val="00331DEA"/>
    <w:rsid w:val="003331BB"/>
    <w:rsid w:val="003332F9"/>
    <w:rsid w:val="0033362B"/>
    <w:rsid w:val="00333FD6"/>
    <w:rsid w:val="0033473C"/>
    <w:rsid w:val="00335ADF"/>
    <w:rsid w:val="00336338"/>
    <w:rsid w:val="00336EA7"/>
    <w:rsid w:val="0033731C"/>
    <w:rsid w:val="0034118E"/>
    <w:rsid w:val="00342AF2"/>
    <w:rsid w:val="00344FDB"/>
    <w:rsid w:val="003464E1"/>
    <w:rsid w:val="00346601"/>
    <w:rsid w:val="00347025"/>
    <w:rsid w:val="00347622"/>
    <w:rsid w:val="00351BA4"/>
    <w:rsid w:val="00352A2F"/>
    <w:rsid w:val="00352EC5"/>
    <w:rsid w:val="0035396D"/>
    <w:rsid w:val="003539CD"/>
    <w:rsid w:val="00353F78"/>
    <w:rsid w:val="00354841"/>
    <w:rsid w:val="003553A8"/>
    <w:rsid w:val="003553B2"/>
    <w:rsid w:val="003555A2"/>
    <w:rsid w:val="0035573A"/>
    <w:rsid w:val="003559E7"/>
    <w:rsid w:val="00355E00"/>
    <w:rsid w:val="00356D67"/>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36"/>
    <w:rsid w:val="00375651"/>
    <w:rsid w:val="00376569"/>
    <w:rsid w:val="00377468"/>
    <w:rsid w:val="0038094D"/>
    <w:rsid w:val="00380E0C"/>
    <w:rsid w:val="00381AC4"/>
    <w:rsid w:val="00382219"/>
    <w:rsid w:val="00384D5D"/>
    <w:rsid w:val="003852A4"/>
    <w:rsid w:val="00385743"/>
    <w:rsid w:val="0038585F"/>
    <w:rsid w:val="003866DB"/>
    <w:rsid w:val="00386D63"/>
    <w:rsid w:val="00390078"/>
    <w:rsid w:val="00390125"/>
    <w:rsid w:val="00392382"/>
    <w:rsid w:val="003924C8"/>
    <w:rsid w:val="00392564"/>
    <w:rsid w:val="00394433"/>
    <w:rsid w:val="003948B7"/>
    <w:rsid w:val="00394C6F"/>
    <w:rsid w:val="003973B4"/>
    <w:rsid w:val="003A0176"/>
    <w:rsid w:val="003A15D2"/>
    <w:rsid w:val="003A1650"/>
    <w:rsid w:val="003A1A91"/>
    <w:rsid w:val="003A3706"/>
    <w:rsid w:val="003A3C7A"/>
    <w:rsid w:val="003A402D"/>
    <w:rsid w:val="003A42D1"/>
    <w:rsid w:val="003A43E5"/>
    <w:rsid w:val="003A48CB"/>
    <w:rsid w:val="003A60B5"/>
    <w:rsid w:val="003A6F77"/>
    <w:rsid w:val="003A7683"/>
    <w:rsid w:val="003A772B"/>
    <w:rsid w:val="003B01C3"/>
    <w:rsid w:val="003B097A"/>
    <w:rsid w:val="003B32DA"/>
    <w:rsid w:val="003B346C"/>
    <w:rsid w:val="003B427B"/>
    <w:rsid w:val="003B5523"/>
    <w:rsid w:val="003B7618"/>
    <w:rsid w:val="003B7FA9"/>
    <w:rsid w:val="003C0DF0"/>
    <w:rsid w:val="003C1E7E"/>
    <w:rsid w:val="003C25F9"/>
    <w:rsid w:val="003C3874"/>
    <w:rsid w:val="003C533E"/>
    <w:rsid w:val="003C5C5E"/>
    <w:rsid w:val="003D0139"/>
    <w:rsid w:val="003D120E"/>
    <w:rsid w:val="003D20EA"/>
    <w:rsid w:val="003D26C1"/>
    <w:rsid w:val="003D2DAE"/>
    <w:rsid w:val="003D5329"/>
    <w:rsid w:val="003D6AD2"/>
    <w:rsid w:val="003E0942"/>
    <w:rsid w:val="003E0E1A"/>
    <w:rsid w:val="003E23DF"/>
    <w:rsid w:val="003E29BA"/>
    <w:rsid w:val="003E2C12"/>
    <w:rsid w:val="003E4919"/>
    <w:rsid w:val="003E4A2B"/>
    <w:rsid w:val="003E4DE3"/>
    <w:rsid w:val="003E5485"/>
    <w:rsid w:val="003E799A"/>
    <w:rsid w:val="003E7FEE"/>
    <w:rsid w:val="003F40BE"/>
    <w:rsid w:val="003F4B33"/>
    <w:rsid w:val="003F4D57"/>
    <w:rsid w:val="003F693E"/>
    <w:rsid w:val="003F70E6"/>
    <w:rsid w:val="003F7819"/>
    <w:rsid w:val="0040116D"/>
    <w:rsid w:val="0040305A"/>
    <w:rsid w:val="004037D4"/>
    <w:rsid w:val="00403B37"/>
    <w:rsid w:val="00404A3E"/>
    <w:rsid w:val="00410F61"/>
    <w:rsid w:val="004117B9"/>
    <w:rsid w:val="004137B0"/>
    <w:rsid w:val="004142E5"/>
    <w:rsid w:val="004158EA"/>
    <w:rsid w:val="0041598B"/>
    <w:rsid w:val="00415FC1"/>
    <w:rsid w:val="004160C9"/>
    <w:rsid w:val="00417973"/>
    <w:rsid w:val="00417D55"/>
    <w:rsid w:val="004203C3"/>
    <w:rsid w:val="00420BB1"/>
    <w:rsid w:val="00421A25"/>
    <w:rsid w:val="00421CD3"/>
    <w:rsid w:val="00422250"/>
    <w:rsid w:val="004233CE"/>
    <w:rsid w:val="004236E7"/>
    <w:rsid w:val="0042397D"/>
    <w:rsid w:val="0042407D"/>
    <w:rsid w:val="004241EA"/>
    <w:rsid w:val="0042476F"/>
    <w:rsid w:val="00424FDA"/>
    <w:rsid w:val="00430105"/>
    <w:rsid w:val="00430173"/>
    <w:rsid w:val="004304FF"/>
    <w:rsid w:val="00430610"/>
    <w:rsid w:val="00430A15"/>
    <w:rsid w:val="00430E5D"/>
    <w:rsid w:val="0043151D"/>
    <w:rsid w:val="0043186D"/>
    <w:rsid w:val="0043342A"/>
    <w:rsid w:val="00433876"/>
    <w:rsid w:val="00433F6F"/>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60B"/>
    <w:rsid w:val="00455D95"/>
    <w:rsid w:val="00455FC8"/>
    <w:rsid w:val="00457A79"/>
    <w:rsid w:val="004621F5"/>
    <w:rsid w:val="00462DC4"/>
    <w:rsid w:val="004632A0"/>
    <w:rsid w:val="004650D4"/>
    <w:rsid w:val="00465400"/>
    <w:rsid w:val="00465494"/>
    <w:rsid w:val="00465513"/>
    <w:rsid w:val="00465A08"/>
    <w:rsid w:val="00466A30"/>
    <w:rsid w:val="0046719E"/>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1916"/>
    <w:rsid w:val="00481956"/>
    <w:rsid w:val="00481AEB"/>
    <w:rsid w:val="0048276F"/>
    <w:rsid w:val="0048527E"/>
    <w:rsid w:val="004864B4"/>
    <w:rsid w:val="00487BA6"/>
    <w:rsid w:val="004914EA"/>
    <w:rsid w:val="0049199B"/>
    <w:rsid w:val="00491C10"/>
    <w:rsid w:val="004943B5"/>
    <w:rsid w:val="004950E8"/>
    <w:rsid w:val="00495AAB"/>
    <w:rsid w:val="004968E0"/>
    <w:rsid w:val="004973C3"/>
    <w:rsid w:val="004978D2"/>
    <w:rsid w:val="004A0CE4"/>
    <w:rsid w:val="004A0D6E"/>
    <w:rsid w:val="004A3DEC"/>
    <w:rsid w:val="004A4356"/>
    <w:rsid w:val="004A450B"/>
    <w:rsid w:val="004A68C9"/>
    <w:rsid w:val="004A7CF7"/>
    <w:rsid w:val="004B1029"/>
    <w:rsid w:val="004B1411"/>
    <w:rsid w:val="004B1986"/>
    <w:rsid w:val="004B4E1C"/>
    <w:rsid w:val="004B520C"/>
    <w:rsid w:val="004C06F5"/>
    <w:rsid w:val="004C0CAF"/>
    <w:rsid w:val="004C0D93"/>
    <w:rsid w:val="004C148B"/>
    <w:rsid w:val="004C1997"/>
    <w:rsid w:val="004C511A"/>
    <w:rsid w:val="004C51D2"/>
    <w:rsid w:val="004C5F6D"/>
    <w:rsid w:val="004C7404"/>
    <w:rsid w:val="004D065F"/>
    <w:rsid w:val="004D2D81"/>
    <w:rsid w:val="004D3C87"/>
    <w:rsid w:val="004D4819"/>
    <w:rsid w:val="004D5EEE"/>
    <w:rsid w:val="004D725D"/>
    <w:rsid w:val="004E0FE5"/>
    <w:rsid w:val="004E175A"/>
    <w:rsid w:val="004E1F40"/>
    <w:rsid w:val="004E2596"/>
    <w:rsid w:val="004E3300"/>
    <w:rsid w:val="004E3B58"/>
    <w:rsid w:val="004E5C07"/>
    <w:rsid w:val="004E5C7C"/>
    <w:rsid w:val="004E625A"/>
    <w:rsid w:val="004E66F5"/>
    <w:rsid w:val="004E6DAA"/>
    <w:rsid w:val="004E7220"/>
    <w:rsid w:val="004E7A28"/>
    <w:rsid w:val="004F07E9"/>
    <w:rsid w:val="004F2A2D"/>
    <w:rsid w:val="004F2D28"/>
    <w:rsid w:val="004F6A20"/>
    <w:rsid w:val="004F6D12"/>
    <w:rsid w:val="00500CA0"/>
    <w:rsid w:val="00502119"/>
    <w:rsid w:val="00503324"/>
    <w:rsid w:val="0050354D"/>
    <w:rsid w:val="00504D0B"/>
    <w:rsid w:val="005052A9"/>
    <w:rsid w:val="005069DD"/>
    <w:rsid w:val="00510E08"/>
    <w:rsid w:val="00510E36"/>
    <w:rsid w:val="005120FC"/>
    <w:rsid w:val="00512A35"/>
    <w:rsid w:val="00513660"/>
    <w:rsid w:val="005139A0"/>
    <w:rsid w:val="005144BC"/>
    <w:rsid w:val="005147A4"/>
    <w:rsid w:val="0051496B"/>
    <w:rsid w:val="00521074"/>
    <w:rsid w:val="00524F14"/>
    <w:rsid w:val="00525148"/>
    <w:rsid w:val="00526449"/>
    <w:rsid w:val="00526A59"/>
    <w:rsid w:val="00530026"/>
    <w:rsid w:val="0053017B"/>
    <w:rsid w:val="0053086F"/>
    <w:rsid w:val="00531B34"/>
    <w:rsid w:val="005323C3"/>
    <w:rsid w:val="0053343C"/>
    <w:rsid w:val="00534625"/>
    <w:rsid w:val="00534FA5"/>
    <w:rsid w:val="005368A1"/>
    <w:rsid w:val="00537652"/>
    <w:rsid w:val="00541B38"/>
    <w:rsid w:val="005434A6"/>
    <w:rsid w:val="005438E8"/>
    <w:rsid w:val="0054391C"/>
    <w:rsid w:val="00543C93"/>
    <w:rsid w:val="00543CFB"/>
    <w:rsid w:val="00544966"/>
    <w:rsid w:val="00545E81"/>
    <w:rsid w:val="00546DEA"/>
    <w:rsid w:val="00550B39"/>
    <w:rsid w:val="00551489"/>
    <w:rsid w:val="005524BF"/>
    <w:rsid w:val="005531BB"/>
    <w:rsid w:val="005536C0"/>
    <w:rsid w:val="00555CE9"/>
    <w:rsid w:val="00557755"/>
    <w:rsid w:val="00557AFB"/>
    <w:rsid w:val="00560631"/>
    <w:rsid w:val="00561DD0"/>
    <w:rsid w:val="0056353C"/>
    <w:rsid w:val="00565199"/>
    <w:rsid w:val="005666AB"/>
    <w:rsid w:val="00566787"/>
    <w:rsid w:val="005674D0"/>
    <w:rsid w:val="00567748"/>
    <w:rsid w:val="0057030D"/>
    <w:rsid w:val="00570DFA"/>
    <w:rsid w:val="00572548"/>
    <w:rsid w:val="005742EB"/>
    <w:rsid w:val="005745A8"/>
    <w:rsid w:val="00574A6A"/>
    <w:rsid w:val="00574A93"/>
    <w:rsid w:val="0057541F"/>
    <w:rsid w:val="00575B3E"/>
    <w:rsid w:val="00576209"/>
    <w:rsid w:val="005765F4"/>
    <w:rsid w:val="005766B6"/>
    <w:rsid w:val="005804E5"/>
    <w:rsid w:val="00580EEC"/>
    <w:rsid w:val="00585DA8"/>
    <w:rsid w:val="00585EB1"/>
    <w:rsid w:val="00590C3A"/>
    <w:rsid w:val="00591666"/>
    <w:rsid w:val="0059365F"/>
    <w:rsid w:val="00596067"/>
    <w:rsid w:val="00597976"/>
    <w:rsid w:val="005A054E"/>
    <w:rsid w:val="005A0A95"/>
    <w:rsid w:val="005A189C"/>
    <w:rsid w:val="005A1DA7"/>
    <w:rsid w:val="005A270C"/>
    <w:rsid w:val="005A2F91"/>
    <w:rsid w:val="005A32F4"/>
    <w:rsid w:val="005A3AEB"/>
    <w:rsid w:val="005A4A70"/>
    <w:rsid w:val="005A5BA9"/>
    <w:rsid w:val="005A679B"/>
    <w:rsid w:val="005A6CB1"/>
    <w:rsid w:val="005A7034"/>
    <w:rsid w:val="005A7085"/>
    <w:rsid w:val="005A7333"/>
    <w:rsid w:val="005A76CD"/>
    <w:rsid w:val="005A7F98"/>
    <w:rsid w:val="005B0E4D"/>
    <w:rsid w:val="005B15E7"/>
    <w:rsid w:val="005B1D7B"/>
    <w:rsid w:val="005B2FBF"/>
    <w:rsid w:val="005B3093"/>
    <w:rsid w:val="005B34D6"/>
    <w:rsid w:val="005B42FF"/>
    <w:rsid w:val="005B4388"/>
    <w:rsid w:val="005B5B21"/>
    <w:rsid w:val="005B6ABD"/>
    <w:rsid w:val="005B7A17"/>
    <w:rsid w:val="005C0404"/>
    <w:rsid w:val="005C10C4"/>
    <w:rsid w:val="005C1221"/>
    <w:rsid w:val="005C2036"/>
    <w:rsid w:val="005C2268"/>
    <w:rsid w:val="005C3C64"/>
    <w:rsid w:val="005C4081"/>
    <w:rsid w:val="005C44B1"/>
    <w:rsid w:val="005C63E8"/>
    <w:rsid w:val="005C7A65"/>
    <w:rsid w:val="005D0A9D"/>
    <w:rsid w:val="005D1202"/>
    <w:rsid w:val="005D13E7"/>
    <w:rsid w:val="005D2BF3"/>
    <w:rsid w:val="005D41C1"/>
    <w:rsid w:val="005D5A28"/>
    <w:rsid w:val="005D6BEB"/>
    <w:rsid w:val="005D71F4"/>
    <w:rsid w:val="005E18DD"/>
    <w:rsid w:val="005E2ED6"/>
    <w:rsid w:val="005E5239"/>
    <w:rsid w:val="005E5988"/>
    <w:rsid w:val="005E66CD"/>
    <w:rsid w:val="005E67F6"/>
    <w:rsid w:val="005E7660"/>
    <w:rsid w:val="005E7668"/>
    <w:rsid w:val="005F0879"/>
    <w:rsid w:val="005F2A8F"/>
    <w:rsid w:val="005F2D37"/>
    <w:rsid w:val="005F3168"/>
    <w:rsid w:val="005F3E68"/>
    <w:rsid w:val="005F51C7"/>
    <w:rsid w:val="005F5318"/>
    <w:rsid w:val="005F5A52"/>
    <w:rsid w:val="005F67E6"/>
    <w:rsid w:val="005F70D6"/>
    <w:rsid w:val="005F77A8"/>
    <w:rsid w:val="00600F14"/>
    <w:rsid w:val="00601582"/>
    <w:rsid w:val="00601B3F"/>
    <w:rsid w:val="00602905"/>
    <w:rsid w:val="00603568"/>
    <w:rsid w:val="006035B9"/>
    <w:rsid w:val="0060559C"/>
    <w:rsid w:val="0060713E"/>
    <w:rsid w:val="00610DE0"/>
    <w:rsid w:val="00613321"/>
    <w:rsid w:val="00613421"/>
    <w:rsid w:val="00613755"/>
    <w:rsid w:val="0061505D"/>
    <w:rsid w:val="00615EFD"/>
    <w:rsid w:val="00616509"/>
    <w:rsid w:val="006174ED"/>
    <w:rsid w:val="0062023C"/>
    <w:rsid w:val="006209CC"/>
    <w:rsid w:val="0062116B"/>
    <w:rsid w:val="00622235"/>
    <w:rsid w:val="00622EA3"/>
    <w:rsid w:val="0062498A"/>
    <w:rsid w:val="00624DD8"/>
    <w:rsid w:val="006258DC"/>
    <w:rsid w:val="00625EC6"/>
    <w:rsid w:val="0062673C"/>
    <w:rsid w:val="00626CB2"/>
    <w:rsid w:val="006271B5"/>
    <w:rsid w:val="00631EBB"/>
    <w:rsid w:val="0063511D"/>
    <w:rsid w:val="00635856"/>
    <w:rsid w:val="00636F53"/>
    <w:rsid w:val="00640517"/>
    <w:rsid w:val="00640766"/>
    <w:rsid w:val="006407C8"/>
    <w:rsid w:val="00640805"/>
    <w:rsid w:val="006422C4"/>
    <w:rsid w:val="006427E0"/>
    <w:rsid w:val="00642D21"/>
    <w:rsid w:val="006444B5"/>
    <w:rsid w:val="00644F23"/>
    <w:rsid w:val="00645A9B"/>
    <w:rsid w:val="006500F2"/>
    <w:rsid w:val="00650B67"/>
    <w:rsid w:val="006515C9"/>
    <w:rsid w:val="00651650"/>
    <w:rsid w:val="00651719"/>
    <w:rsid w:val="00653CF1"/>
    <w:rsid w:val="00654706"/>
    <w:rsid w:val="00654794"/>
    <w:rsid w:val="00655422"/>
    <w:rsid w:val="0065587D"/>
    <w:rsid w:val="00655FB8"/>
    <w:rsid w:val="00656E58"/>
    <w:rsid w:val="00660ECE"/>
    <w:rsid w:val="006613C4"/>
    <w:rsid w:val="00661DFA"/>
    <w:rsid w:val="00662D05"/>
    <w:rsid w:val="00664C41"/>
    <w:rsid w:val="00664D65"/>
    <w:rsid w:val="00666328"/>
    <w:rsid w:val="0066751C"/>
    <w:rsid w:val="00670141"/>
    <w:rsid w:val="00670507"/>
    <w:rsid w:val="00671797"/>
    <w:rsid w:val="00671E5D"/>
    <w:rsid w:val="006727D7"/>
    <w:rsid w:val="00672820"/>
    <w:rsid w:val="0067368C"/>
    <w:rsid w:val="0067378C"/>
    <w:rsid w:val="00673AFF"/>
    <w:rsid w:val="006758AC"/>
    <w:rsid w:val="00675A29"/>
    <w:rsid w:val="00675B89"/>
    <w:rsid w:val="00675C7D"/>
    <w:rsid w:val="00676630"/>
    <w:rsid w:val="006773B8"/>
    <w:rsid w:val="00677BF9"/>
    <w:rsid w:val="0068058A"/>
    <w:rsid w:val="00680B89"/>
    <w:rsid w:val="00680F03"/>
    <w:rsid w:val="00681E37"/>
    <w:rsid w:val="00682D6B"/>
    <w:rsid w:val="00683DB9"/>
    <w:rsid w:val="0068416F"/>
    <w:rsid w:val="00684C57"/>
    <w:rsid w:val="00684CDF"/>
    <w:rsid w:val="00685658"/>
    <w:rsid w:val="006874CA"/>
    <w:rsid w:val="00691F30"/>
    <w:rsid w:val="00692F8F"/>
    <w:rsid w:val="006932D6"/>
    <w:rsid w:val="00694B93"/>
    <w:rsid w:val="00694D13"/>
    <w:rsid w:val="0069658D"/>
    <w:rsid w:val="00696787"/>
    <w:rsid w:val="00696AE2"/>
    <w:rsid w:val="006977E5"/>
    <w:rsid w:val="006978C5"/>
    <w:rsid w:val="006A1939"/>
    <w:rsid w:val="006A2195"/>
    <w:rsid w:val="006A27B1"/>
    <w:rsid w:val="006A3484"/>
    <w:rsid w:val="006A36C0"/>
    <w:rsid w:val="006A79F5"/>
    <w:rsid w:val="006A7F42"/>
    <w:rsid w:val="006A7FBF"/>
    <w:rsid w:val="006B0BC2"/>
    <w:rsid w:val="006B2009"/>
    <w:rsid w:val="006B2AF5"/>
    <w:rsid w:val="006B2FAF"/>
    <w:rsid w:val="006B3194"/>
    <w:rsid w:val="006B33FB"/>
    <w:rsid w:val="006B48ED"/>
    <w:rsid w:val="006B6325"/>
    <w:rsid w:val="006B6E81"/>
    <w:rsid w:val="006B7274"/>
    <w:rsid w:val="006B73AD"/>
    <w:rsid w:val="006B758A"/>
    <w:rsid w:val="006C258F"/>
    <w:rsid w:val="006C47AA"/>
    <w:rsid w:val="006C5413"/>
    <w:rsid w:val="006C55C6"/>
    <w:rsid w:val="006C674B"/>
    <w:rsid w:val="006C6836"/>
    <w:rsid w:val="006C69DF"/>
    <w:rsid w:val="006C7A91"/>
    <w:rsid w:val="006C7BB2"/>
    <w:rsid w:val="006D0BDA"/>
    <w:rsid w:val="006D16F6"/>
    <w:rsid w:val="006D24F1"/>
    <w:rsid w:val="006D6F09"/>
    <w:rsid w:val="006D6FF4"/>
    <w:rsid w:val="006D70AC"/>
    <w:rsid w:val="006E0E11"/>
    <w:rsid w:val="006E0E2D"/>
    <w:rsid w:val="006E389B"/>
    <w:rsid w:val="006E4AAA"/>
    <w:rsid w:val="006E4DDF"/>
    <w:rsid w:val="006E5101"/>
    <w:rsid w:val="006E6D04"/>
    <w:rsid w:val="006E72B1"/>
    <w:rsid w:val="006F078C"/>
    <w:rsid w:val="006F0BBE"/>
    <w:rsid w:val="006F1964"/>
    <w:rsid w:val="006F1EB6"/>
    <w:rsid w:val="006F27F0"/>
    <w:rsid w:val="006F31F5"/>
    <w:rsid w:val="006F4C7A"/>
    <w:rsid w:val="006F51F7"/>
    <w:rsid w:val="006F6357"/>
    <w:rsid w:val="006F6521"/>
    <w:rsid w:val="006F67B9"/>
    <w:rsid w:val="006F799E"/>
    <w:rsid w:val="006F7C08"/>
    <w:rsid w:val="007016E4"/>
    <w:rsid w:val="007032C6"/>
    <w:rsid w:val="00703973"/>
    <w:rsid w:val="00704000"/>
    <w:rsid w:val="0070494A"/>
    <w:rsid w:val="00704DA3"/>
    <w:rsid w:val="0070506A"/>
    <w:rsid w:val="00706691"/>
    <w:rsid w:val="007075AF"/>
    <w:rsid w:val="007076F1"/>
    <w:rsid w:val="007079ED"/>
    <w:rsid w:val="00707ACE"/>
    <w:rsid w:val="00707B67"/>
    <w:rsid w:val="0071025A"/>
    <w:rsid w:val="007107F7"/>
    <w:rsid w:val="007129B7"/>
    <w:rsid w:val="00712BD1"/>
    <w:rsid w:val="00713554"/>
    <w:rsid w:val="00714431"/>
    <w:rsid w:val="007149B1"/>
    <w:rsid w:val="007155BB"/>
    <w:rsid w:val="00715971"/>
    <w:rsid w:val="00715A42"/>
    <w:rsid w:val="00716D78"/>
    <w:rsid w:val="0071770B"/>
    <w:rsid w:val="00717BB6"/>
    <w:rsid w:val="00720D62"/>
    <w:rsid w:val="00723CA7"/>
    <w:rsid w:val="007243F3"/>
    <w:rsid w:val="0072524A"/>
    <w:rsid w:val="00726AC8"/>
    <w:rsid w:val="0072799E"/>
    <w:rsid w:val="00730E87"/>
    <w:rsid w:val="007314A6"/>
    <w:rsid w:val="00731CB6"/>
    <w:rsid w:val="007322D4"/>
    <w:rsid w:val="00732F86"/>
    <w:rsid w:val="0073307F"/>
    <w:rsid w:val="00734CC2"/>
    <w:rsid w:val="00735998"/>
    <w:rsid w:val="00740524"/>
    <w:rsid w:val="00740F76"/>
    <w:rsid w:val="00740FEF"/>
    <w:rsid w:val="00741547"/>
    <w:rsid w:val="00741B4A"/>
    <w:rsid w:val="00741D27"/>
    <w:rsid w:val="007445DE"/>
    <w:rsid w:val="007450E5"/>
    <w:rsid w:val="007452CE"/>
    <w:rsid w:val="00745647"/>
    <w:rsid w:val="0074697F"/>
    <w:rsid w:val="00750474"/>
    <w:rsid w:val="00750E17"/>
    <w:rsid w:val="00751912"/>
    <w:rsid w:val="00751C3F"/>
    <w:rsid w:val="007527D1"/>
    <w:rsid w:val="007541DE"/>
    <w:rsid w:val="00754E7F"/>
    <w:rsid w:val="00755AAB"/>
    <w:rsid w:val="0075737C"/>
    <w:rsid w:val="007577DA"/>
    <w:rsid w:val="007578F5"/>
    <w:rsid w:val="0076075D"/>
    <w:rsid w:val="00761014"/>
    <w:rsid w:val="007610B3"/>
    <w:rsid w:val="0076152F"/>
    <w:rsid w:val="007617E6"/>
    <w:rsid w:val="00761B3D"/>
    <w:rsid w:val="007622B0"/>
    <w:rsid w:val="00762E4E"/>
    <w:rsid w:val="007661AB"/>
    <w:rsid w:val="007668F4"/>
    <w:rsid w:val="0076696E"/>
    <w:rsid w:val="00766F89"/>
    <w:rsid w:val="0076729E"/>
    <w:rsid w:val="00767E0C"/>
    <w:rsid w:val="00770445"/>
    <w:rsid w:val="0077146C"/>
    <w:rsid w:val="00771950"/>
    <w:rsid w:val="00771B79"/>
    <w:rsid w:val="007741D6"/>
    <w:rsid w:val="007743CF"/>
    <w:rsid w:val="0077455D"/>
    <w:rsid w:val="0077470E"/>
    <w:rsid w:val="0077525F"/>
    <w:rsid w:val="00775A14"/>
    <w:rsid w:val="00780006"/>
    <w:rsid w:val="00780E2E"/>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4C2"/>
    <w:rsid w:val="00794BD5"/>
    <w:rsid w:val="00797409"/>
    <w:rsid w:val="00797C1E"/>
    <w:rsid w:val="007A000B"/>
    <w:rsid w:val="007A0111"/>
    <w:rsid w:val="007A0597"/>
    <w:rsid w:val="007A4090"/>
    <w:rsid w:val="007A4160"/>
    <w:rsid w:val="007A5299"/>
    <w:rsid w:val="007A6731"/>
    <w:rsid w:val="007A68ED"/>
    <w:rsid w:val="007A707F"/>
    <w:rsid w:val="007A7411"/>
    <w:rsid w:val="007B09C1"/>
    <w:rsid w:val="007B0DBC"/>
    <w:rsid w:val="007B189F"/>
    <w:rsid w:val="007B19F9"/>
    <w:rsid w:val="007B1CB6"/>
    <w:rsid w:val="007B2716"/>
    <w:rsid w:val="007B4530"/>
    <w:rsid w:val="007B4787"/>
    <w:rsid w:val="007B5306"/>
    <w:rsid w:val="007B5317"/>
    <w:rsid w:val="007B5AED"/>
    <w:rsid w:val="007B5BDD"/>
    <w:rsid w:val="007B7022"/>
    <w:rsid w:val="007B7A1F"/>
    <w:rsid w:val="007C0112"/>
    <w:rsid w:val="007C0A6D"/>
    <w:rsid w:val="007C15ED"/>
    <w:rsid w:val="007C1692"/>
    <w:rsid w:val="007C2CBF"/>
    <w:rsid w:val="007C2E01"/>
    <w:rsid w:val="007C4446"/>
    <w:rsid w:val="007C446F"/>
    <w:rsid w:val="007C5A53"/>
    <w:rsid w:val="007C6001"/>
    <w:rsid w:val="007C6804"/>
    <w:rsid w:val="007C68F4"/>
    <w:rsid w:val="007C7D0E"/>
    <w:rsid w:val="007D0C2D"/>
    <w:rsid w:val="007D11AE"/>
    <w:rsid w:val="007D1BED"/>
    <w:rsid w:val="007D348F"/>
    <w:rsid w:val="007D3BB3"/>
    <w:rsid w:val="007D4222"/>
    <w:rsid w:val="007D4766"/>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2B90"/>
    <w:rsid w:val="007F399E"/>
    <w:rsid w:val="007F6AE7"/>
    <w:rsid w:val="00800499"/>
    <w:rsid w:val="00801282"/>
    <w:rsid w:val="00801448"/>
    <w:rsid w:val="00801AA8"/>
    <w:rsid w:val="00801D15"/>
    <w:rsid w:val="008028AF"/>
    <w:rsid w:val="00807DD6"/>
    <w:rsid w:val="008102DA"/>
    <w:rsid w:val="008103AD"/>
    <w:rsid w:val="00810C03"/>
    <w:rsid w:val="008112B6"/>
    <w:rsid w:val="00813D6F"/>
    <w:rsid w:val="00813DEA"/>
    <w:rsid w:val="00814228"/>
    <w:rsid w:val="00814556"/>
    <w:rsid w:val="00815528"/>
    <w:rsid w:val="00815F81"/>
    <w:rsid w:val="008161DA"/>
    <w:rsid w:val="00817C34"/>
    <w:rsid w:val="0082069E"/>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100"/>
    <w:rsid w:val="00835782"/>
    <w:rsid w:val="00835B21"/>
    <w:rsid w:val="008362C6"/>
    <w:rsid w:val="008375B5"/>
    <w:rsid w:val="008377F0"/>
    <w:rsid w:val="00840015"/>
    <w:rsid w:val="00840765"/>
    <w:rsid w:val="00842111"/>
    <w:rsid w:val="008427C4"/>
    <w:rsid w:val="00842D68"/>
    <w:rsid w:val="008438E2"/>
    <w:rsid w:val="00844828"/>
    <w:rsid w:val="00844F26"/>
    <w:rsid w:val="00846495"/>
    <w:rsid w:val="00847660"/>
    <w:rsid w:val="00847A3C"/>
    <w:rsid w:val="00850147"/>
    <w:rsid w:val="008510CF"/>
    <w:rsid w:val="00851636"/>
    <w:rsid w:val="008526DF"/>
    <w:rsid w:val="00853B05"/>
    <w:rsid w:val="00853B0A"/>
    <w:rsid w:val="008541E8"/>
    <w:rsid w:val="00856217"/>
    <w:rsid w:val="008602DC"/>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1B8F"/>
    <w:rsid w:val="00882B74"/>
    <w:rsid w:val="008844BD"/>
    <w:rsid w:val="0088548B"/>
    <w:rsid w:val="0088680F"/>
    <w:rsid w:val="00886B1B"/>
    <w:rsid w:val="00886FA2"/>
    <w:rsid w:val="0088763F"/>
    <w:rsid w:val="00887741"/>
    <w:rsid w:val="00887BF2"/>
    <w:rsid w:val="00890804"/>
    <w:rsid w:val="00891725"/>
    <w:rsid w:val="008917A7"/>
    <w:rsid w:val="008922FA"/>
    <w:rsid w:val="0089235E"/>
    <w:rsid w:val="0089310D"/>
    <w:rsid w:val="00893751"/>
    <w:rsid w:val="008942C2"/>
    <w:rsid w:val="00894691"/>
    <w:rsid w:val="0089493F"/>
    <w:rsid w:val="00894972"/>
    <w:rsid w:val="008949CB"/>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3A4"/>
    <w:rsid w:val="008C1AAE"/>
    <w:rsid w:val="008C2447"/>
    <w:rsid w:val="008C251B"/>
    <w:rsid w:val="008C26E6"/>
    <w:rsid w:val="008C2FEA"/>
    <w:rsid w:val="008C3351"/>
    <w:rsid w:val="008C357A"/>
    <w:rsid w:val="008C4D7C"/>
    <w:rsid w:val="008C562A"/>
    <w:rsid w:val="008C64FA"/>
    <w:rsid w:val="008C6E90"/>
    <w:rsid w:val="008C75E7"/>
    <w:rsid w:val="008C76DA"/>
    <w:rsid w:val="008C7C29"/>
    <w:rsid w:val="008D1229"/>
    <w:rsid w:val="008D2225"/>
    <w:rsid w:val="008D2656"/>
    <w:rsid w:val="008D3BAB"/>
    <w:rsid w:val="008D5B6A"/>
    <w:rsid w:val="008D5BE2"/>
    <w:rsid w:val="008D5DD9"/>
    <w:rsid w:val="008D5F07"/>
    <w:rsid w:val="008D72DC"/>
    <w:rsid w:val="008E2815"/>
    <w:rsid w:val="008E3A0A"/>
    <w:rsid w:val="008E4FA1"/>
    <w:rsid w:val="008E5E0F"/>
    <w:rsid w:val="008E73C9"/>
    <w:rsid w:val="008E76E3"/>
    <w:rsid w:val="008F2BA6"/>
    <w:rsid w:val="008F47F1"/>
    <w:rsid w:val="008F572D"/>
    <w:rsid w:val="00900332"/>
    <w:rsid w:val="0090191B"/>
    <w:rsid w:val="00901CA4"/>
    <w:rsid w:val="00911DDE"/>
    <w:rsid w:val="00912475"/>
    <w:rsid w:val="00914558"/>
    <w:rsid w:val="00917B35"/>
    <w:rsid w:val="0092028C"/>
    <w:rsid w:val="009211AF"/>
    <w:rsid w:val="009213AF"/>
    <w:rsid w:val="00921456"/>
    <w:rsid w:val="00922F85"/>
    <w:rsid w:val="0092336D"/>
    <w:rsid w:val="009235CB"/>
    <w:rsid w:val="00923D53"/>
    <w:rsid w:val="00924BE3"/>
    <w:rsid w:val="009251FD"/>
    <w:rsid w:val="00926000"/>
    <w:rsid w:val="00926851"/>
    <w:rsid w:val="0092706C"/>
    <w:rsid w:val="0092742E"/>
    <w:rsid w:val="00930D05"/>
    <w:rsid w:val="009323AD"/>
    <w:rsid w:val="00934497"/>
    <w:rsid w:val="009347C9"/>
    <w:rsid w:val="0093577A"/>
    <w:rsid w:val="00935E9F"/>
    <w:rsid w:val="00936129"/>
    <w:rsid w:val="0093632C"/>
    <w:rsid w:val="0093689D"/>
    <w:rsid w:val="00936F08"/>
    <w:rsid w:val="00937601"/>
    <w:rsid w:val="009405D3"/>
    <w:rsid w:val="009410FF"/>
    <w:rsid w:val="0094120C"/>
    <w:rsid w:val="00941407"/>
    <w:rsid w:val="009418CC"/>
    <w:rsid w:val="009424FD"/>
    <w:rsid w:val="00946306"/>
    <w:rsid w:val="00946C9E"/>
    <w:rsid w:val="00947CA1"/>
    <w:rsid w:val="009505B3"/>
    <w:rsid w:val="0095098C"/>
    <w:rsid w:val="009513D8"/>
    <w:rsid w:val="00951DF9"/>
    <w:rsid w:val="00954B9E"/>
    <w:rsid w:val="00954D1A"/>
    <w:rsid w:val="00954E07"/>
    <w:rsid w:val="00955C18"/>
    <w:rsid w:val="00956420"/>
    <w:rsid w:val="0096043D"/>
    <w:rsid w:val="009607E4"/>
    <w:rsid w:val="00960A63"/>
    <w:rsid w:val="00960CEE"/>
    <w:rsid w:val="00961DBA"/>
    <w:rsid w:val="00962606"/>
    <w:rsid w:val="00962D7F"/>
    <w:rsid w:val="009657FB"/>
    <w:rsid w:val="009661FA"/>
    <w:rsid w:val="00966782"/>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587B"/>
    <w:rsid w:val="009860E2"/>
    <w:rsid w:val="00986317"/>
    <w:rsid w:val="00986B1B"/>
    <w:rsid w:val="00987B25"/>
    <w:rsid w:val="00987DD6"/>
    <w:rsid w:val="009902F0"/>
    <w:rsid w:val="00991256"/>
    <w:rsid w:val="0099192E"/>
    <w:rsid w:val="009919A3"/>
    <w:rsid w:val="009923E2"/>
    <w:rsid w:val="00993200"/>
    <w:rsid w:val="00993238"/>
    <w:rsid w:val="00993488"/>
    <w:rsid w:val="00993D5D"/>
    <w:rsid w:val="00993DAE"/>
    <w:rsid w:val="0099421C"/>
    <w:rsid w:val="00994E08"/>
    <w:rsid w:val="009955E2"/>
    <w:rsid w:val="0099560D"/>
    <w:rsid w:val="0099572B"/>
    <w:rsid w:val="009960D2"/>
    <w:rsid w:val="00996B9C"/>
    <w:rsid w:val="00996DA4"/>
    <w:rsid w:val="0099753D"/>
    <w:rsid w:val="009A0725"/>
    <w:rsid w:val="009A0CD9"/>
    <w:rsid w:val="009A2DA4"/>
    <w:rsid w:val="009A34F4"/>
    <w:rsid w:val="009A5061"/>
    <w:rsid w:val="009A54D1"/>
    <w:rsid w:val="009A56AD"/>
    <w:rsid w:val="009A646B"/>
    <w:rsid w:val="009A6552"/>
    <w:rsid w:val="009A6D6D"/>
    <w:rsid w:val="009A74F1"/>
    <w:rsid w:val="009A79FC"/>
    <w:rsid w:val="009A7C91"/>
    <w:rsid w:val="009B0A9B"/>
    <w:rsid w:val="009B17E6"/>
    <w:rsid w:val="009B1F9D"/>
    <w:rsid w:val="009B341C"/>
    <w:rsid w:val="009B3CAD"/>
    <w:rsid w:val="009B5D9D"/>
    <w:rsid w:val="009B7F85"/>
    <w:rsid w:val="009C0161"/>
    <w:rsid w:val="009C06A6"/>
    <w:rsid w:val="009C11F1"/>
    <w:rsid w:val="009C1E8D"/>
    <w:rsid w:val="009C2265"/>
    <w:rsid w:val="009C2713"/>
    <w:rsid w:val="009C2A5D"/>
    <w:rsid w:val="009C2D9E"/>
    <w:rsid w:val="009C3827"/>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1DE"/>
    <w:rsid w:val="009E33CB"/>
    <w:rsid w:val="009E497C"/>
    <w:rsid w:val="009E4B74"/>
    <w:rsid w:val="009E4BCF"/>
    <w:rsid w:val="009E50E1"/>
    <w:rsid w:val="009E59CA"/>
    <w:rsid w:val="009E5D9E"/>
    <w:rsid w:val="009E7CF8"/>
    <w:rsid w:val="009F152B"/>
    <w:rsid w:val="009F4337"/>
    <w:rsid w:val="009F4396"/>
    <w:rsid w:val="009F509F"/>
    <w:rsid w:val="009F52CF"/>
    <w:rsid w:val="009F55A9"/>
    <w:rsid w:val="009F6193"/>
    <w:rsid w:val="00A01651"/>
    <w:rsid w:val="00A02283"/>
    <w:rsid w:val="00A04C00"/>
    <w:rsid w:val="00A05039"/>
    <w:rsid w:val="00A07632"/>
    <w:rsid w:val="00A077BC"/>
    <w:rsid w:val="00A105BF"/>
    <w:rsid w:val="00A10CA1"/>
    <w:rsid w:val="00A11550"/>
    <w:rsid w:val="00A115D0"/>
    <w:rsid w:val="00A1204C"/>
    <w:rsid w:val="00A15189"/>
    <w:rsid w:val="00A2005A"/>
    <w:rsid w:val="00A202A1"/>
    <w:rsid w:val="00A20BD2"/>
    <w:rsid w:val="00A21723"/>
    <w:rsid w:val="00A21E0F"/>
    <w:rsid w:val="00A224F5"/>
    <w:rsid w:val="00A22823"/>
    <w:rsid w:val="00A237C6"/>
    <w:rsid w:val="00A247AE"/>
    <w:rsid w:val="00A26844"/>
    <w:rsid w:val="00A26AFA"/>
    <w:rsid w:val="00A26B7B"/>
    <w:rsid w:val="00A30AE7"/>
    <w:rsid w:val="00A317E2"/>
    <w:rsid w:val="00A3223C"/>
    <w:rsid w:val="00A324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5F7A"/>
    <w:rsid w:val="00A46A8C"/>
    <w:rsid w:val="00A47D22"/>
    <w:rsid w:val="00A5105B"/>
    <w:rsid w:val="00A52743"/>
    <w:rsid w:val="00A54023"/>
    <w:rsid w:val="00A54296"/>
    <w:rsid w:val="00A5571D"/>
    <w:rsid w:val="00A55987"/>
    <w:rsid w:val="00A55B43"/>
    <w:rsid w:val="00A55BDA"/>
    <w:rsid w:val="00A55DA1"/>
    <w:rsid w:val="00A561E7"/>
    <w:rsid w:val="00A5625D"/>
    <w:rsid w:val="00A57C30"/>
    <w:rsid w:val="00A57E91"/>
    <w:rsid w:val="00A62DDF"/>
    <w:rsid w:val="00A634BC"/>
    <w:rsid w:val="00A64F6A"/>
    <w:rsid w:val="00A65CBC"/>
    <w:rsid w:val="00A663F8"/>
    <w:rsid w:val="00A6650F"/>
    <w:rsid w:val="00A66515"/>
    <w:rsid w:val="00A66AB1"/>
    <w:rsid w:val="00A71605"/>
    <w:rsid w:val="00A73C31"/>
    <w:rsid w:val="00A74480"/>
    <w:rsid w:val="00A74D03"/>
    <w:rsid w:val="00A74EA3"/>
    <w:rsid w:val="00A76A62"/>
    <w:rsid w:val="00A80F8D"/>
    <w:rsid w:val="00A85079"/>
    <w:rsid w:val="00A9019E"/>
    <w:rsid w:val="00A90CCB"/>
    <w:rsid w:val="00A92244"/>
    <w:rsid w:val="00A92297"/>
    <w:rsid w:val="00A928F8"/>
    <w:rsid w:val="00A94DE0"/>
    <w:rsid w:val="00A95F96"/>
    <w:rsid w:val="00A96324"/>
    <w:rsid w:val="00A965CD"/>
    <w:rsid w:val="00A96706"/>
    <w:rsid w:val="00A96F69"/>
    <w:rsid w:val="00A976CE"/>
    <w:rsid w:val="00AA0127"/>
    <w:rsid w:val="00AA140F"/>
    <w:rsid w:val="00AA164F"/>
    <w:rsid w:val="00AA381E"/>
    <w:rsid w:val="00AA4DD6"/>
    <w:rsid w:val="00AA5456"/>
    <w:rsid w:val="00AA60AE"/>
    <w:rsid w:val="00AA68C9"/>
    <w:rsid w:val="00AA7038"/>
    <w:rsid w:val="00AA711D"/>
    <w:rsid w:val="00AA7EA0"/>
    <w:rsid w:val="00AB287A"/>
    <w:rsid w:val="00AB3646"/>
    <w:rsid w:val="00AB37C6"/>
    <w:rsid w:val="00AB5F21"/>
    <w:rsid w:val="00AB66F2"/>
    <w:rsid w:val="00AC10F6"/>
    <w:rsid w:val="00AC1D79"/>
    <w:rsid w:val="00AC26CF"/>
    <w:rsid w:val="00AC3CED"/>
    <w:rsid w:val="00AC4E4D"/>
    <w:rsid w:val="00AC538E"/>
    <w:rsid w:val="00AC55A6"/>
    <w:rsid w:val="00AC5DA7"/>
    <w:rsid w:val="00AC67DB"/>
    <w:rsid w:val="00AC71BB"/>
    <w:rsid w:val="00AC7560"/>
    <w:rsid w:val="00AC7E26"/>
    <w:rsid w:val="00AD020E"/>
    <w:rsid w:val="00AD0D63"/>
    <w:rsid w:val="00AD10E7"/>
    <w:rsid w:val="00AD17AE"/>
    <w:rsid w:val="00AD1A2A"/>
    <w:rsid w:val="00AD1F7B"/>
    <w:rsid w:val="00AD1F84"/>
    <w:rsid w:val="00AD3441"/>
    <w:rsid w:val="00AD7C61"/>
    <w:rsid w:val="00AD7FDE"/>
    <w:rsid w:val="00AE0092"/>
    <w:rsid w:val="00AE0123"/>
    <w:rsid w:val="00AE0430"/>
    <w:rsid w:val="00AE1035"/>
    <w:rsid w:val="00AE114E"/>
    <w:rsid w:val="00AE2949"/>
    <w:rsid w:val="00AE3B84"/>
    <w:rsid w:val="00AE4234"/>
    <w:rsid w:val="00AE62BE"/>
    <w:rsid w:val="00AE62FE"/>
    <w:rsid w:val="00AE7DF8"/>
    <w:rsid w:val="00AF1064"/>
    <w:rsid w:val="00AF148B"/>
    <w:rsid w:val="00AF1689"/>
    <w:rsid w:val="00AF1F4D"/>
    <w:rsid w:val="00AF275F"/>
    <w:rsid w:val="00AF289A"/>
    <w:rsid w:val="00AF4E29"/>
    <w:rsid w:val="00AF51BD"/>
    <w:rsid w:val="00AF605B"/>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488"/>
    <w:rsid w:val="00B1011E"/>
    <w:rsid w:val="00B10A85"/>
    <w:rsid w:val="00B10DB0"/>
    <w:rsid w:val="00B11A47"/>
    <w:rsid w:val="00B12CE2"/>
    <w:rsid w:val="00B12CF8"/>
    <w:rsid w:val="00B143FC"/>
    <w:rsid w:val="00B14912"/>
    <w:rsid w:val="00B205BA"/>
    <w:rsid w:val="00B20A90"/>
    <w:rsid w:val="00B21837"/>
    <w:rsid w:val="00B2231C"/>
    <w:rsid w:val="00B22DEB"/>
    <w:rsid w:val="00B2600E"/>
    <w:rsid w:val="00B302BF"/>
    <w:rsid w:val="00B304DC"/>
    <w:rsid w:val="00B3054F"/>
    <w:rsid w:val="00B31CA8"/>
    <w:rsid w:val="00B32139"/>
    <w:rsid w:val="00B32F2F"/>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117"/>
    <w:rsid w:val="00B4636F"/>
    <w:rsid w:val="00B46421"/>
    <w:rsid w:val="00B46852"/>
    <w:rsid w:val="00B47684"/>
    <w:rsid w:val="00B50386"/>
    <w:rsid w:val="00B51055"/>
    <w:rsid w:val="00B51133"/>
    <w:rsid w:val="00B51319"/>
    <w:rsid w:val="00B5221A"/>
    <w:rsid w:val="00B5515B"/>
    <w:rsid w:val="00B559D1"/>
    <w:rsid w:val="00B577AB"/>
    <w:rsid w:val="00B60B6C"/>
    <w:rsid w:val="00B625A0"/>
    <w:rsid w:val="00B63117"/>
    <w:rsid w:val="00B6369C"/>
    <w:rsid w:val="00B64100"/>
    <w:rsid w:val="00B64773"/>
    <w:rsid w:val="00B6577F"/>
    <w:rsid w:val="00B657CC"/>
    <w:rsid w:val="00B65F2B"/>
    <w:rsid w:val="00B6653C"/>
    <w:rsid w:val="00B70A8E"/>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11F9"/>
    <w:rsid w:val="00B9139B"/>
    <w:rsid w:val="00B93121"/>
    <w:rsid w:val="00B9318E"/>
    <w:rsid w:val="00B93D9E"/>
    <w:rsid w:val="00B941B8"/>
    <w:rsid w:val="00B9463E"/>
    <w:rsid w:val="00B94D38"/>
    <w:rsid w:val="00B952E8"/>
    <w:rsid w:val="00B9580E"/>
    <w:rsid w:val="00B95D70"/>
    <w:rsid w:val="00B96DEE"/>
    <w:rsid w:val="00B96ECF"/>
    <w:rsid w:val="00B97029"/>
    <w:rsid w:val="00B9710E"/>
    <w:rsid w:val="00BA0705"/>
    <w:rsid w:val="00BA2190"/>
    <w:rsid w:val="00BA2D33"/>
    <w:rsid w:val="00BA553B"/>
    <w:rsid w:val="00BA564A"/>
    <w:rsid w:val="00BA5BEA"/>
    <w:rsid w:val="00BA7DD0"/>
    <w:rsid w:val="00BB0E77"/>
    <w:rsid w:val="00BB0F86"/>
    <w:rsid w:val="00BB10F8"/>
    <w:rsid w:val="00BB244C"/>
    <w:rsid w:val="00BB2904"/>
    <w:rsid w:val="00BB2D49"/>
    <w:rsid w:val="00BB3B65"/>
    <w:rsid w:val="00BB3D5E"/>
    <w:rsid w:val="00BB4946"/>
    <w:rsid w:val="00BB4C89"/>
    <w:rsid w:val="00BB583F"/>
    <w:rsid w:val="00BB5889"/>
    <w:rsid w:val="00BB6377"/>
    <w:rsid w:val="00BB6BB5"/>
    <w:rsid w:val="00BB6CC7"/>
    <w:rsid w:val="00BB709E"/>
    <w:rsid w:val="00BC01E8"/>
    <w:rsid w:val="00BC04FB"/>
    <w:rsid w:val="00BC0DDA"/>
    <w:rsid w:val="00BC1A52"/>
    <w:rsid w:val="00BC2680"/>
    <w:rsid w:val="00BC2F62"/>
    <w:rsid w:val="00BC6250"/>
    <w:rsid w:val="00BC6B71"/>
    <w:rsid w:val="00BD0A4B"/>
    <w:rsid w:val="00BD0C9E"/>
    <w:rsid w:val="00BD1352"/>
    <w:rsid w:val="00BD22B5"/>
    <w:rsid w:val="00BD25E0"/>
    <w:rsid w:val="00BD2DC5"/>
    <w:rsid w:val="00BD38A7"/>
    <w:rsid w:val="00BD477C"/>
    <w:rsid w:val="00BD6AA4"/>
    <w:rsid w:val="00BD72E6"/>
    <w:rsid w:val="00BD7AB6"/>
    <w:rsid w:val="00BD7ABF"/>
    <w:rsid w:val="00BD7D32"/>
    <w:rsid w:val="00BE0340"/>
    <w:rsid w:val="00BE07D4"/>
    <w:rsid w:val="00BE0B1A"/>
    <w:rsid w:val="00BE0E43"/>
    <w:rsid w:val="00BE12CF"/>
    <w:rsid w:val="00BE1E99"/>
    <w:rsid w:val="00BE33BB"/>
    <w:rsid w:val="00BE3B68"/>
    <w:rsid w:val="00BE3D73"/>
    <w:rsid w:val="00BE402F"/>
    <w:rsid w:val="00BE655C"/>
    <w:rsid w:val="00BE6674"/>
    <w:rsid w:val="00BE69ED"/>
    <w:rsid w:val="00BE7571"/>
    <w:rsid w:val="00BE7956"/>
    <w:rsid w:val="00BE7CC5"/>
    <w:rsid w:val="00BF0941"/>
    <w:rsid w:val="00BF0F38"/>
    <w:rsid w:val="00BF1404"/>
    <w:rsid w:val="00BF2346"/>
    <w:rsid w:val="00BF24D7"/>
    <w:rsid w:val="00BF4E17"/>
    <w:rsid w:val="00BF4F00"/>
    <w:rsid w:val="00BF5126"/>
    <w:rsid w:val="00BF66DA"/>
    <w:rsid w:val="00BF69BD"/>
    <w:rsid w:val="00C01105"/>
    <w:rsid w:val="00C032FB"/>
    <w:rsid w:val="00C03B02"/>
    <w:rsid w:val="00C03F27"/>
    <w:rsid w:val="00C05098"/>
    <w:rsid w:val="00C053B0"/>
    <w:rsid w:val="00C05773"/>
    <w:rsid w:val="00C07025"/>
    <w:rsid w:val="00C109EC"/>
    <w:rsid w:val="00C110D8"/>
    <w:rsid w:val="00C12AD8"/>
    <w:rsid w:val="00C1359B"/>
    <w:rsid w:val="00C142D1"/>
    <w:rsid w:val="00C15EEA"/>
    <w:rsid w:val="00C15EF3"/>
    <w:rsid w:val="00C16E95"/>
    <w:rsid w:val="00C17366"/>
    <w:rsid w:val="00C2201F"/>
    <w:rsid w:val="00C22540"/>
    <w:rsid w:val="00C22D26"/>
    <w:rsid w:val="00C22E61"/>
    <w:rsid w:val="00C249EF"/>
    <w:rsid w:val="00C251A4"/>
    <w:rsid w:val="00C25B88"/>
    <w:rsid w:val="00C2606E"/>
    <w:rsid w:val="00C267AD"/>
    <w:rsid w:val="00C27799"/>
    <w:rsid w:val="00C30418"/>
    <w:rsid w:val="00C31A2D"/>
    <w:rsid w:val="00C31A9E"/>
    <w:rsid w:val="00C31AAF"/>
    <w:rsid w:val="00C31EAC"/>
    <w:rsid w:val="00C32DAB"/>
    <w:rsid w:val="00C3362B"/>
    <w:rsid w:val="00C33C01"/>
    <w:rsid w:val="00C346DC"/>
    <w:rsid w:val="00C353A1"/>
    <w:rsid w:val="00C35911"/>
    <w:rsid w:val="00C3692D"/>
    <w:rsid w:val="00C377CC"/>
    <w:rsid w:val="00C37D46"/>
    <w:rsid w:val="00C37E23"/>
    <w:rsid w:val="00C4091F"/>
    <w:rsid w:val="00C41CA2"/>
    <w:rsid w:val="00C421EC"/>
    <w:rsid w:val="00C426E2"/>
    <w:rsid w:val="00C42842"/>
    <w:rsid w:val="00C42B26"/>
    <w:rsid w:val="00C43BA5"/>
    <w:rsid w:val="00C447CF"/>
    <w:rsid w:val="00C45690"/>
    <w:rsid w:val="00C46586"/>
    <w:rsid w:val="00C46658"/>
    <w:rsid w:val="00C46E49"/>
    <w:rsid w:val="00C47BE9"/>
    <w:rsid w:val="00C5087D"/>
    <w:rsid w:val="00C50BEC"/>
    <w:rsid w:val="00C51E8C"/>
    <w:rsid w:val="00C52221"/>
    <w:rsid w:val="00C52736"/>
    <w:rsid w:val="00C53859"/>
    <w:rsid w:val="00C53A54"/>
    <w:rsid w:val="00C53BF3"/>
    <w:rsid w:val="00C53D37"/>
    <w:rsid w:val="00C53E5E"/>
    <w:rsid w:val="00C55F6B"/>
    <w:rsid w:val="00C56627"/>
    <w:rsid w:val="00C5676B"/>
    <w:rsid w:val="00C60EE8"/>
    <w:rsid w:val="00C622FF"/>
    <w:rsid w:val="00C63F4B"/>
    <w:rsid w:val="00C64AC9"/>
    <w:rsid w:val="00C64DF3"/>
    <w:rsid w:val="00C6504E"/>
    <w:rsid w:val="00C664BD"/>
    <w:rsid w:val="00C6726B"/>
    <w:rsid w:val="00C67EEB"/>
    <w:rsid w:val="00C704F2"/>
    <w:rsid w:val="00C72129"/>
    <w:rsid w:val="00C7249B"/>
    <w:rsid w:val="00C72705"/>
    <w:rsid w:val="00C72BF0"/>
    <w:rsid w:val="00C72CDB"/>
    <w:rsid w:val="00C73524"/>
    <w:rsid w:val="00C74180"/>
    <w:rsid w:val="00C7431A"/>
    <w:rsid w:val="00C74A20"/>
    <w:rsid w:val="00C7569E"/>
    <w:rsid w:val="00C77B26"/>
    <w:rsid w:val="00C82727"/>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43D1"/>
    <w:rsid w:val="00C9459B"/>
    <w:rsid w:val="00C946BD"/>
    <w:rsid w:val="00C95AB6"/>
    <w:rsid w:val="00C9601B"/>
    <w:rsid w:val="00C9614C"/>
    <w:rsid w:val="00C97FB0"/>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424E"/>
    <w:rsid w:val="00CB49F6"/>
    <w:rsid w:val="00CB4E9C"/>
    <w:rsid w:val="00CB56C2"/>
    <w:rsid w:val="00CB7095"/>
    <w:rsid w:val="00CB7C19"/>
    <w:rsid w:val="00CC0959"/>
    <w:rsid w:val="00CC14AE"/>
    <w:rsid w:val="00CC16CD"/>
    <w:rsid w:val="00CC18D9"/>
    <w:rsid w:val="00CC1E8B"/>
    <w:rsid w:val="00CC2C99"/>
    <w:rsid w:val="00CC2F79"/>
    <w:rsid w:val="00CC30A4"/>
    <w:rsid w:val="00CC63C3"/>
    <w:rsid w:val="00CC6716"/>
    <w:rsid w:val="00CD0CB6"/>
    <w:rsid w:val="00CD222C"/>
    <w:rsid w:val="00CD3AE0"/>
    <w:rsid w:val="00CD5EF0"/>
    <w:rsid w:val="00CD6016"/>
    <w:rsid w:val="00CD76DD"/>
    <w:rsid w:val="00CE1020"/>
    <w:rsid w:val="00CE133F"/>
    <w:rsid w:val="00CE13F4"/>
    <w:rsid w:val="00CE142A"/>
    <w:rsid w:val="00CE171B"/>
    <w:rsid w:val="00CE25A6"/>
    <w:rsid w:val="00CE3EF2"/>
    <w:rsid w:val="00CE577F"/>
    <w:rsid w:val="00CE619C"/>
    <w:rsid w:val="00CE6937"/>
    <w:rsid w:val="00CE6E9C"/>
    <w:rsid w:val="00CE7A51"/>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3F5"/>
    <w:rsid w:val="00D11673"/>
    <w:rsid w:val="00D13970"/>
    <w:rsid w:val="00D14740"/>
    <w:rsid w:val="00D14D75"/>
    <w:rsid w:val="00D151EB"/>
    <w:rsid w:val="00D1628B"/>
    <w:rsid w:val="00D1763F"/>
    <w:rsid w:val="00D17996"/>
    <w:rsid w:val="00D17F5E"/>
    <w:rsid w:val="00D20708"/>
    <w:rsid w:val="00D21E30"/>
    <w:rsid w:val="00D2423C"/>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3553"/>
    <w:rsid w:val="00D33728"/>
    <w:rsid w:val="00D356C3"/>
    <w:rsid w:val="00D35740"/>
    <w:rsid w:val="00D36602"/>
    <w:rsid w:val="00D37062"/>
    <w:rsid w:val="00D375E8"/>
    <w:rsid w:val="00D37AA7"/>
    <w:rsid w:val="00D409B6"/>
    <w:rsid w:val="00D41466"/>
    <w:rsid w:val="00D41B42"/>
    <w:rsid w:val="00D41DD4"/>
    <w:rsid w:val="00D42A8C"/>
    <w:rsid w:val="00D44180"/>
    <w:rsid w:val="00D46093"/>
    <w:rsid w:val="00D4664A"/>
    <w:rsid w:val="00D46AA1"/>
    <w:rsid w:val="00D47476"/>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6F69"/>
    <w:rsid w:val="00D679D3"/>
    <w:rsid w:val="00D70614"/>
    <w:rsid w:val="00D71918"/>
    <w:rsid w:val="00D72245"/>
    <w:rsid w:val="00D722D2"/>
    <w:rsid w:val="00D72A0A"/>
    <w:rsid w:val="00D72CD7"/>
    <w:rsid w:val="00D74071"/>
    <w:rsid w:val="00D747AA"/>
    <w:rsid w:val="00D75CBE"/>
    <w:rsid w:val="00D769F1"/>
    <w:rsid w:val="00D76A3D"/>
    <w:rsid w:val="00D77D4A"/>
    <w:rsid w:val="00D80F85"/>
    <w:rsid w:val="00D81AEE"/>
    <w:rsid w:val="00D82337"/>
    <w:rsid w:val="00D82F7B"/>
    <w:rsid w:val="00D830B2"/>
    <w:rsid w:val="00D834CA"/>
    <w:rsid w:val="00D83678"/>
    <w:rsid w:val="00D83FE9"/>
    <w:rsid w:val="00D85E96"/>
    <w:rsid w:val="00D85F8B"/>
    <w:rsid w:val="00D8602A"/>
    <w:rsid w:val="00D87D0F"/>
    <w:rsid w:val="00D90DD3"/>
    <w:rsid w:val="00D924BA"/>
    <w:rsid w:val="00D93425"/>
    <w:rsid w:val="00D93814"/>
    <w:rsid w:val="00D942D0"/>
    <w:rsid w:val="00D94648"/>
    <w:rsid w:val="00D94719"/>
    <w:rsid w:val="00D9586B"/>
    <w:rsid w:val="00D961B0"/>
    <w:rsid w:val="00D97264"/>
    <w:rsid w:val="00DA046C"/>
    <w:rsid w:val="00DA0D65"/>
    <w:rsid w:val="00DA1358"/>
    <w:rsid w:val="00DA1671"/>
    <w:rsid w:val="00DA1748"/>
    <w:rsid w:val="00DA27B1"/>
    <w:rsid w:val="00DA3F0C"/>
    <w:rsid w:val="00DA48E4"/>
    <w:rsid w:val="00DA5478"/>
    <w:rsid w:val="00DA74CE"/>
    <w:rsid w:val="00DB2B4A"/>
    <w:rsid w:val="00DB34D2"/>
    <w:rsid w:val="00DB3CB6"/>
    <w:rsid w:val="00DB5243"/>
    <w:rsid w:val="00DB5964"/>
    <w:rsid w:val="00DB65CC"/>
    <w:rsid w:val="00DB66C4"/>
    <w:rsid w:val="00DC03F3"/>
    <w:rsid w:val="00DC0AF3"/>
    <w:rsid w:val="00DC0D03"/>
    <w:rsid w:val="00DC176B"/>
    <w:rsid w:val="00DC2554"/>
    <w:rsid w:val="00DC341A"/>
    <w:rsid w:val="00DC42A5"/>
    <w:rsid w:val="00DC4EA2"/>
    <w:rsid w:val="00DC4EB9"/>
    <w:rsid w:val="00DC515E"/>
    <w:rsid w:val="00DC5A75"/>
    <w:rsid w:val="00DC603B"/>
    <w:rsid w:val="00DC6181"/>
    <w:rsid w:val="00DC64EF"/>
    <w:rsid w:val="00DC6A65"/>
    <w:rsid w:val="00DC7671"/>
    <w:rsid w:val="00DD05DB"/>
    <w:rsid w:val="00DD1AED"/>
    <w:rsid w:val="00DD2270"/>
    <w:rsid w:val="00DD255D"/>
    <w:rsid w:val="00DD2BF7"/>
    <w:rsid w:val="00DD59C7"/>
    <w:rsid w:val="00DD6517"/>
    <w:rsid w:val="00DD6A61"/>
    <w:rsid w:val="00DD6E6E"/>
    <w:rsid w:val="00DD7E0A"/>
    <w:rsid w:val="00DE1D92"/>
    <w:rsid w:val="00DE3211"/>
    <w:rsid w:val="00DE363C"/>
    <w:rsid w:val="00DE4C85"/>
    <w:rsid w:val="00DE4CDB"/>
    <w:rsid w:val="00DE4DC0"/>
    <w:rsid w:val="00DE656B"/>
    <w:rsid w:val="00DE7C25"/>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727E"/>
    <w:rsid w:val="00E107A4"/>
    <w:rsid w:val="00E1117E"/>
    <w:rsid w:val="00E11F3A"/>
    <w:rsid w:val="00E13D0D"/>
    <w:rsid w:val="00E15A2B"/>
    <w:rsid w:val="00E15F76"/>
    <w:rsid w:val="00E171E9"/>
    <w:rsid w:val="00E229EF"/>
    <w:rsid w:val="00E232CC"/>
    <w:rsid w:val="00E26CB8"/>
    <w:rsid w:val="00E30394"/>
    <w:rsid w:val="00E3040C"/>
    <w:rsid w:val="00E305AB"/>
    <w:rsid w:val="00E30DD9"/>
    <w:rsid w:val="00E36515"/>
    <w:rsid w:val="00E36CD0"/>
    <w:rsid w:val="00E374AD"/>
    <w:rsid w:val="00E40C60"/>
    <w:rsid w:val="00E40D11"/>
    <w:rsid w:val="00E42871"/>
    <w:rsid w:val="00E42930"/>
    <w:rsid w:val="00E4382B"/>
    <w:rsid w:val="00E44944"/>
    <w:rsid w:val="00E44B6A"/>
    <w:rsid w:val="00E4519E"/>
    <w:rsid w:val="00E45928"/>
    <w:rsid w:val="00E4634E"/>
    <w:rsid w:val="00E50946"/>
    <w:rsid w:val="00E519EC"/>
    <w:rsid w:val="00E53110"/>
    <w:rsid w:val="00E54F46"/>
    <w:rsid w:val="00E55208"/>
    <w:rsid w:val="00E5538E"/>
    <w:rsid w:val="00E556E8"/>
    <w:rsid w:val="00E55CAD"/>
    <w:rsid w:val="00E56D1B"/>
    <w:rsid w:val="00E57AAA"/>
    <w:rsid w:val="00E57F1F"/>
    <w:rsid w:val="00E62898"/>
    <w:rsid w:val="00E63538"/>
    <w:rsid w:val="00E64938"/>
    <w:rsid w:val="00E64D21"/>
    <w:rsid w:val="00E65AB1"/>
    <w:rsid w:val="00E65ABB"/>
    <w:rsid w:val="00E65FBC"/>
    <w:rsid w:val="00E6607D"/>
    <w:rsid w:val="00E670FF"/>
    <w:rsid w:val="00E67381"/>
    <w:rsid w:val="00E72666"/>
    <w:rsid w:val="00E73603"/>
    <w:rsid w:val="00E74273"/>
    <w:rsid w:val="00E74C8E"/>
    <w:rsid w:val="00E74D3C"/>
    <w:rsid w:val="00E75DEC"/>
    <w:rsid w:val="00E77275"/>
    <w:rsid w:val="00E81AA8"/>
    <w:rsid w:val="00E81B9E"/>
    <w:rsid w:val="00E81F8F"/>
    <w:rsid w:val="00E82F29"/>
    <w:rsid w:val="00E83CD4"/>
    <w:rsid w:val="00E84896"/>
    <w:rsid w:val="00E85785"/>
    <w:rsid w:val="00E901FB"/>
    <w:rsid w:val="00E90927"/>
    <w:rsid w:val="00E90A2D"/>
    <w:rsid w:val="00E911C4"/>
    <w:rsid w:val="00E91463"/>
    <w:rsid w:val="00E93425"/>
    <w:rsid w:val="00E94641"/>
    <w:rsid w:val="00E949AF"/>
    <w:rsid w:val="00E9677B"/>
    <w:rsid w:val="00E96896"/>
    <w:rsid w:val="00EA019F"/>
    <w:rsid w:val="00EA0A42"/>
    <w:rsid w:val="00EA146B"/>
    <w:rsid w:val="00EA169A"/>
    <w:rsid w:val="00EA28DA"/>
    <w:rsid w:val="00EA28E7"/>
    <w:rsid w:val="00EA316C"/>
    <w:rsid w:val="00EA45E0"/>
    <w:rsid w:val="00EA73F5"/>
    <w:rsid w:val="00EB1B29"/>
    <w:rsid w:val="00EB2493"/>
    <w:rsid w:val="00EB272C"/>
    <w:rsid w:val="00EB31C8"/>
    <w:rsid w:val="00EB3337"/>
    <w:rsid w:val="00EB3FBF"/>
    <w:rsid w:val="00EB4770"/>
    <w:rsid w:val="00EB5875"/>
    <w:rsid w:val="00EB6194"/>
    <w:rsid w:val="00EB73F1"/>
    <w:rsid w:val="00EC087E"/>
    <w:rsid w:val="00EC139E"/>
    <w:rsid w:val="00EC14C0"/>
    <w:rsid w:val="00EC1643"/>
    <w:rsid w:val="00EC20C9"/>
    <w:rsid w:val="00EC234E"/>
    <w:rsid w:val="00EC33CF"/>
    <w:rsid w:val="00EC3FE2"/>
    <w:rsid w:val="00EC4808"/>
    <w:rsid w:val="00EC4DC5"/>
    <w:rsid w:val="00EC50FD"/>
    <w:rsid w:val="00EC6ABA"/>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1DD"/>
    <w:rsid w:val="00EE4853"/>
    <w:rsid w:val="00EE4A03"/>
    <w:rsid w:val="00EE4DB5"/>
    <w:rsid w:val="00EE55B8"/>
    <w:rsid w:val="00EE6893"/>
    <w:rsid w:val="00EE7B02"/>
    <w:rsid w:val="00EF0457"/>
    <w:rsid w:val="00EF04A3"/>
    <w:rsid w:val="00EF18A1"/>
    <w:rsid w:val="00EF1BA5"/>
    <w:rsid w:val="00EF25E0"/>
    <w:rsid w:val="00EF5448"/>
    <w:rsid w:val="00EF5483"/>
    <w:rsid w:val="00EF5D98"/>
    <w:rsid w:val="00EF7317"/>
    <w:rsid w:val="00F009B1"/>
    <w:rsid w:val="00F00BC0"/>
    <w:rsid w:val="00F00C36"/>
    <w:rsid w:val="00F00F61"/>
    <w:rsid w:val="00F0194D"/>
    <w:rsid w:val="00F03439"/>
    <w:rsid w:val="00F034D8"/>
    <w:rsid w:val="00F03BDF"/>
    <w:rsid w:val="00F048A0"/>
    <w:rsid w:val="00F048E2"/>
    <w:rsid w:val="00F070C8"/>
    <w:rsid w:val="00F07B25"/>
    <w:rsid w:val="00F11A1F"/>
    <w:rsid w:val="00F13D23"/>
    <w:rsid w:val="00F145E9"/>
    <w:rsid w:val="00F14675"/>
    <w:rsid w:val="00F14B92"/>
    <w:rsid w:val="00F14D2D"/>
    <w:rsid w:val="00F15345"/>
    <w:rsid w:val="00F1552A"/>
    <w:rsid w:val="00F16151"/>
    <w:rsid w:val="00F20BFA"/>
    <w:rsid w:val="00F21446"/>
    <w:rsid w:val="00F25144"/>
    <w:rsid w:val="00F27155"/>
    <w:rsid w:val="00F30B7C"/>
    <w:rsid w:val="00F30DBD"/>
    <w:rsid w:val="00F31813"/>
    <w:rsid w:val="00F321CB"/>
    <w:rsid w:val="00F329C8"/>
    <w:rsid w:val="00F33D4F"/>
    <w:rsid w:val="00F34143"/>
    <w:rsid w:val="00F343D2"/>
    <w:rsid w:val="00F345F4"/>
    <w:rsid w:val="00F3580A"/>
    <w:rsid w:val="00F3606E"/>
    <w:rsid w:val="00F40933"/>
    <w:rsid w:val="00F40D46"/>
    <w:rsid w:val="00F4173F"/>
    <w:rsid w:val="00F4180D"/>
    <w:rsid w:val="00F41A7E"/>
    <w:rsid w:val="00F41FA2"/>
    <w:rsid w:val="00F42B64"/>
    <w:rsid w:val="00F4320F"/>
    <w:rsid w:val="00F43DB8"/>
    <w:rsid w:val="00F44420"/>
    <w:rsid w:val="00F44779"/>
    <w:rsid w:val="00F44CD9"/>
    <w:rsid w:val="00F46F9C"/>
    <w:rsid w:val="00F478E5"/>
    <w:rsid w:val="00F50301"/>
    <w:rsid w:val="00F50827"/>
    <w:rsid w:val="00F51A82"/>
    <w:rsid w:val="00F52895"/>
    <w:rsid w:val="00F52AD4"/>
    <w:rsid w:val="00F5300B"/>
    <w:rsid w:val="00F54B34"/>
    <w:rsid w:val="00F54B54"/>
    <w:rsid w:val="00F55ABC"/>
    <w:rsid w:val="00F567B6"/>
    <w:rsid w:val="00F572FB"/>
    <w:rsid w:val="00F6037D"/>
    <w:rsid w:val="00F613DD"/>
    <w:rsid w:val="00F615BA"/>
    <w:rsid w:val="00F61FF2"/>
    <w:rsid w:val="00F62063"/>
    <w:rsid w:val="00F62097"/>
    <w:rsid w:val="00F62BAB"/>
    <w:rsid w:val="00F6387E"/>
    <w:rsid w:val="00F64933"/>
    <w:rsid w:val="00F64B41"/>
    <w:rsid w:val="00F65388"/>
    <w:rsid w:val="00F65EB5"/>
    <w:rsid w:val="00F701F0"/>
    <w:rsid w:val="00F707D8"/>
    <w:rsid w:val="00F70B7E"/>
    <w:rsid w:val="00F7101D"/>
    <w:rsid w:val="00F7238E"/>
    <w:rsid w:val="00F723C2"/>
    <w:rsid w:val="00F7280E"/>
    <w:rsid w:val="00F758DA"/>
    <w:rsid w:val="00F758E9"/>
    <w:rsid w:val="00F76FD2"/>
    <w:rsid w:val="00F80648"/>
    <w:rsid w:val="00F820D4"/>
    <w:rsid w:val="00F826A6"/>
    <w:rsid w:val="00F84656"/>
    <w:rsid w:val="00F86968"/>
    <w:rsid w:val="00F876DB"/>
    <w:rsid w:val="00F9125F"/>
    <w:rsid w:val="00F91F9D"/>
    <w:rsid w:val="00F92756"/>
    <w:rsid w:val="00F928C8"/>
    <w:rsid w:val="00F9336F"/>
    <w:rsid w:val="00F93795"/>
    <w:rsid w:val="00F942F8"/>
    <w:rsid w:val="00F968A0"/>
    <w:rsid w:val="00F97696"/>
    <w:rsid w:val="00F97830"/>
    <w:rsid w:val="00F978D3"/>
    <w:rsid w:val="00FA3361"/>
    <w:rsid w:val="00FA3C50"/>
    <w:rsid w:val="00FA3E4E"/>
    <w:rsid w:val="00FA3ECD"/>
    <w:rsid w:val="00FA4251"/>
    <w:rsid w:val="00FA5463"/>
    <w:rsid w:val="00FA7BC1"/>
    <w:rsid w:val="00FB26AE"/>
    <w:rsid w:val="00FB2F14"/>
    <w:rsid w:val="00FB41C9"/>
    <w:rsid w:val="00FB4653"/>
    <w:rsid w:val="00FB5C65"/>
    <w:rsid w:val="00FB5DF3"/>
    <w:rsid w:val="00FB7A8E"/>
    <w:rsid w:val="00FC06C7"/>
    <w:rsid w:val="00FC0C2A"/>
    <w:rsid w:val="00FC27CD"/>
    <w:rsid w:val="00FC3A33"/>
    <w:rsid w:val="00FC430E"/>
    <w:rsid w:val="00FC433B"/>
    <w:rsid w:val="00FC4C2F"/>
    <w:rsid w:val="00FC4E09"/>
    <w:rsid w:val="00FC546B"/>
    <w:rsid w:val="00FC5670"/>
    <w:rsid w:val="00FC6484"/>
    <w:rsid w:val="00FC728E"/>
    <w:rsid w:val="00FC7AC5"/>
    <w:rsid w:val="00FC7FB9"/>
    <w:rsid w:val="00FD1225"/>
    <w:rsid w:val="00FD14B0"/>
    <w:rsid w:val="00FD2084"/>
    <w:rsid w:val="00FD2D8F"/>
    <w:rsid w:val="00FD2D9A"/>
    <w:rsid w:val="00FD3E09"/>
    <w:rsid w:val="00FD4EB1"/>
    <w:rsid w:val="00FD5219"/>
    <w:rsid w:val="00FD52D8"/>
    <w:rsid w:val="00FD5CF3"/>
    <w:rsid w:val="00FD642F"/>
    <w:rsid w:val="00FD70A9"/>
    <w:rsid w:val="00FD770D"/>
    <w:rsid w:val="00FE1B0D"/>
    <w:rsid w:val="00FE2BF4"/>
    <w:rsid w:val="00FE38AE"/>
    <w:rsid w:val="00FE59A5"/>
    <w:rsid w:val="00FE73E3"/>
    <w:rsid w:val="00FF0864"/>
    <w:rsid w:val="00FF0880"/>
    <w:rsid w:val="00FF16EC"/>
    <w:rsid w:val="00FF2910"/>
    <w:rsid w:val="00FF44F0"/>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2.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C43E54-EA8A-4233-8081-5C8930D35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7</Pages>
  <Words>2881</Words>
  <Characters>16427</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43</cp:revision>
  <dcterms:created xsi:type="dcterms:W3CDTF">2025-08-05T05:59:00Z</dcterms:created>
  <dcterms:modified xsi:type="dcterms:W3CDTF">2025-08-15T09:48:00Z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ies>
</file>